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E836" w14:textId="18330AF8" w:rsidR="00E93042" w:rsidRPr="00E93042" w:rsidRDefault="00E93042" w:rsidP="00E93042">
      <w:pPr>
        <w:jc w:val="right"/>
        <w:rPr>
          <w:rFonts w:ascii="Times New Roman" w:hAnsi="Times New Roman"/>
          <w:u w:val="single"/>
        </w:rPr>
      </w:pPr>
      <w:r w:rsidRPr="00E93042">
        <w:rPr>
          <w:rFonts w:ascii="Times New Roman" w:hAnsi="Times New Roman"/>
          <w:u w:val="single"/>
        </w:rPr>
        <w:t>Projekt</w:t>
      </w:r>
    </w:p>
    <w:p w14:paraId="6F9D7822" w14:textId="302C3DA0" w:rsidR="005956CA" w:rsidRPr="00E93042" w:rsidRDefault="005956CA" w:rsidP="008E205D">
      <w:pPr>
        <w:pStyle w:val="OZNRODZAKTUtznustawalubrozporzdzenieiorganwydajcy"/>
        <w:rPr>
          <w:rFonts w:ascii="Times New Roman" w:hAnsi="Times New Roman"/>
          <w:sz w:val="22"/>
          <w:szCs w:val="22"/>
        </w:rPr>
      </w:pPr>
      <w:r w:rsidRPr="00E93042">
        <w:rPr>
          <w:rFonts w:ascii="Times New Roman" w:hAnsi="Times New Roman"/>
          <w:sz w:val="22"/>
          <w:szCs w:val="22"/>
        </w:rPr>
        <w:t>Ustawa</w:t>
      </w:r>
    </w:p>
    <w:p w14:paraId="0716B50E" w14:textId="7577647B" w:rsidR="005956CA" w:rsidRPr="00E93042" w:rsidRDefault="005956CA" w:rsidP="008E205D">
      <w:pPr>
        <w:pStyle w:val="DATAAKTUdatauchwalenialubwydaniaaktu"/>
        <w:rPr>
          <w:rFonts w:ascii="Times New Roman" w:hAnsi="Times New Roman" w:cs="Times New Roman"/>
          <w:sz w:val="22"/>
          <w:szCs w:val="22"/>
        </w:rPr>
      </w:pPr>
      <w:r w:rsidRPr="00E93042">
        <w:rPr>
          <w:rFonts w:ascii="Times New Roman" w:hAnsi="Times New Roman" w:cs="Times New Roman"/>
          <w:sz w:val="22"/>
          <w:szCs w:val="22"/>
        </w:rPr>
        <w:t>z dnia …….</w:t>
      </w:r>
      <w:r w:rsidR="00AB1371" w:rsidRPr="00E93042">
        <w:rPr>
          <w:rFonts w:ascii="Times New Roman" w:hAnsi="Times New Roman" w:cs="Times New Roman"/>
          <w:sz w:val="22"/>
          <w:szCs w:val="22"/>
        </w:rPr>
        <w:t xml:space="preserve"> 2025</w:t>
      </w:r>
      <w:r w:rsidRPr="00E93042">
        <w:rPr>
          <w:rFonts w:ascii="Times New Roman" w:hAnsi="Times New Roman" w:cs="Times New Roman"/>
          <w:sz w:val="22"/>
          <w:szCs w:val="22"/>
        </w:rPr>
        <w:t xml:space="preserve"> r.</w:t>
      </w:r>
    </w:p>
    <w:p w14:paraId="58BF76C4" w14:textId="54D254AB" w:rsidR="005956CA" w:rsidRPr="00E93042" w:rsidRDefault="005956CA" w:rsidP="008E205D">
      <w:pPr>
        <w:pStyle w:val="TYTUAKTUprzedmiotregulacjiustawylubrozporzdzenia"/>
        <w:rPr>
          <w:rFonts w:ascii="Times New Roman" w:hAnsi="Times New Roman" w:cs="Times New Roman"/>
          <w:sz w:val="22"/>
          <w:szCs w:val="22"/>
          <w:vertAlign w:val="superscript"/>
        </w:rPr>
      </w:pPr>
      <w:r w:rsidRPr="00E93042">
        <w:rPr>
          <w:rFonts w:ascii="Times New Roman" w:hAnsi="Times New Roman" w:cs="Times New Roman"/>
          <w:sz w:val="22"/>
          <w:szCs w:val="22"/>
        </w:rPr>
        <w:t>o zmianie ustawy</w:t>
      </w:r>
      <w:r w:rsidR="008267C8" w:rsidRPr="00E93042">
        <w:rPr>
          <w:rFonts w:ascii="Times New Roman" w:hAnsi="Times New Roman" w:cs="Times New Roman"/>
          <w:sz w:val="22"/>
          <w:szCs w:val="22"/>
        </w:rPr>
        <w:t xml:space="preserve"> o zmianie ustawy o finansowym wsparciu tworzenia lokali socjalnych, mieszkań chronionych, noclegowni i domów dla bezdomnych oraz niektórych innych ustaw</w:t>
      </w:r>
      <w:r w:rsidR="00AB1371" w:rsidRPr="00E93042">
        <w:rPr>
          <w:rStyle w:val="Odwoanieprzypisudolnego"/>
          <w:rFonts w:ascii="Times New Roman" w:hAnsi="Times New Roman" w:cs="Times New Roman"/>
          <w:sz w:val="22"/>
          <w:szCs w:val="22"/>
        </w:rPr>
        <w:footnoteReference w:id="1"/>
      </w:r>
    </w:p>
    <w:p w14:paraId="22E3FA33" w14:textId="772C2844" w:rsidR="00654510" w:rsidRPr="00E93042" w:rsidRDefault="005956CA" w:rsidP="008E205D">
      <w:pPr>
        <w:pStyle w:val="ARTartustawynprozporzdzenia"/>
        <w:rPr>
          <w:rFonts w:ascii="Times New Roman" w:hAnsi="Times New Roman" w:cs="Times New Roman"/>
          <w:sz w:val="22"/>
          <w:szCs w:val="22"/>
        </w:rPr>
      </w:pPr>
      <w:r w:rsidRPr="00E93042">
        <w:rPr>
          <w:rStyle w:val="Ppogrubienie"/>
          <w:rFonts w:ascii="Times New Roman" w:hAnsi="Times New Roman" w:cs="Times New Roman"/>
          <w:sz w:val="22"/>
          <w:szCs w:val="22"/>
        </w:rPr>
        <w:t>Art. 1</w:t>
      </w:r>
      <w:r w:rsidR="00AB1371" w:rsidRPr="00E93042">
        <w:rPr>
          <w:rStyle w:val="Ppogrubienie"/>
          <w:rFonts w:ascii="Times New Roman" w:hAnsi="Times New Roman" w:cs="Times New Roman"/>
          <w:sz w:val="22"/>
          <w:szCs w:val="22"/>
        </w:rPr>
        <w:t>.</w:t>
      </w:r>
      <w:r w:rsidRPr="00E93042">
        <w:rPr>
          <w:rFonts w:ascii="Times New Roman" w:hAnsi="Times New Roman" w:cs="Times New Roman"/>
          <w:sz w:val="22"/>
          <w:szCs w:val="22"/>
        </w:rPr>
        <w:t xml:space="preserve"> </w:t>
      </w:r>
      <w:r w:rsidR="00654510" w:rsidRPr="00E93042">
        <w:rPr>
          <w:rFonts w:ascii="Times New Roman" w:hAnsi="Times New Roman" w:cs="Times New Roman"/>
          <w:sz w:val="22"/>
          <w:szCs w:val="22"/>
        </w:rPr>
        <w:t xml:space="preserve">W ustawie z dnia 22 marca 2018 r. o zmianie ustawy o finansowym wsparciu tworzenia lokali socjalnych, mieszkań chronionych, noclegowni i domów dla bezdomnych, ustawy o ochronie praw lokatorów, mieszkaniowym zasobie gminy i o zmianie Kodeksu cywilnego oraz niektórych innych ustaw (Dz. U. </w:t>
      </w:r>
      <w:r w:rsidR="00E93042">
        <w:rPr>
          <w:rFonts w:ascii="Times New Roman" w:hAnsi="Times New Roman" w:cs="Times New Roman"/>
          <w:sz w:val="22"/>
          <w:szCs w:val="22"/>
        </w:rPr>
        <w:t xml:space="preserve">z 2018 r. </w:t>
      </w:r>
      <w:r w:rsidR="00654510" w:rsidRPr="00E93042">
        <w:rPr>
          <w:rFonts w:ascii="Times New Roman" w:hAnsi="Times New Roman" w:cs="Times New Roman"/>
          <w:sz w:val="22"/>
          <w:szCs w:val="22"/>
        </w:rPr>
        <w:t>poz. 756, z 2019 r. poz. 1309, z 2021 r. poz. 11, z 2022 r. poz. 1561 oraz z 2023 r. poz. 1114) w art. 21 w ust. 1:</w:t>
      </w:r>
    </w:p>
    <w:p w14:paraId="1F024CD9" w14:textId="0D2883E5" w:rsidR="00654510" w:rsidRPr="00E93042" w:rsidRDefault="00654510" w:rsidP="008E205D">
      <w:pPr>
        <w:pStyle w:val="PKTpunkt"/>
        <w:rPr>
          <w:rFonts w:ascii="Times New Roman" w:hAnsi="Times New Roman" w:cs="Times New Roman"/>
          <w:sz w:val="22"/>
          <w:szCs w:val="22"/>
        </w:rPr>
      </w:pPr>
      <w:r w:rsidRPr="00E93042">
        <w:rPr>
          <w:rFonts w:ascii="Times New Roman" w:hAnsi="Times New Roman" w:cs="Times New Roman"/>
          <w:sz w:val="22"/>
          <w:szCs w:val="22"/>
        </w:rPr>
        <w:t>1)</w:t>
      </w:r>
      <w:r w:rsidRPr="00E93042">
        <w:rPr>
          <w:rFonts w:ascii="Times New Roman" w:hAnsi="Times New Roman" w:cs="Times New Roman"/>
          <w:sz w:val="22"/>
          <w:szCs w:val="22"/>
        </w:rPr>
        <w:tab/>
        <w:t>we wprowadzeniu do wyliczenia wyrazy „7210 mln zł” zastępuje się wyrazami „11153,3 mln zł”;</w:t>
      </w:r>
    </w:p>
    <w:p w14:paraId="69AF94D5" w14:textId="43E040F3" w:rsidR="00654510" w:rsidRPr="00E93042" w:rsidRDefault="00654510" w:rsidP="008E205D">
      <w:pPr>
        <w:pStyle w:val="PKTpunkt"/>
        <w:rPr>
          <w:rFonts w:ascii="Times New Roman" w:hAnsi="Times New Roman" w:cs="Times New Roman"/>
          <w:sz w:val="22"/>
          <w:szCs w:val="22"/>
        </w:rPr>
      </w:pPr>
      <w:r w:rsidRPr="00E93042">
        <w:rPr>
          <w:rFonts w:ascii="Times New Roman" w:hAnsi="Times New Roman" w:cs="Times New Roman"/>
          <w:sz w:val="22"/>
          <w:szCs w:val="22"/>
        </w:rPr>
        <w:t>2)</w:t>
      </w:r>
      <w:r w:rsidRPr="00E93042">
        <w:rPr>
          <w:rFonts w:ascii="Times New Roman" w:hAnsi="Times New Roman" w:cs="Times New Roman"/>
          <w:sz w:val="22"/>
          <w:szCs w:val="22"/>
        </w:rPr>
        <w:tab/>
        <w:t>w pkt 8 wyrazy „1000 mln zł” zastępuje się wyrazami</w:t>
      </w:r>
      <w:r w:rsidR="00C0037D" w:rsidRPr="00E93042">
        <w:rPr>
          <w:rFonts w:ascii="Times New Roman" w:hAnsi="Times New Roman" w:cs="Times New Roman"/>
          <w:sz w:val="22"/>
          <w:szCs w:val="22"/>
        </w:rPr>
        <w:t xml:space="preserve"> </w:t>
      </w:r>
      <w:r w:rsidRPr="00E93042">
        <w:rPr>
          <w:rFonts w:ascii="Times New Roman" w:hAnsi="Times New Roman" w:cs="Times New Roman"/>
          <w:sz w:val="22"/>
          <w:szCs w:val="22"/>
        </w:rPr>
        <w:t>,,4943,3 mln zł”.</w:t>
      </w:r>
    </w:p>
    <w:p w14:paraId="75DD4B05" w14:textId="77777777" w:rsidR="00AB1371" w:rsidRPr="00E93042" w:rsidRDefault="00AB1371" w:rsidP="008E205D">
      <w:pPr>
        <w:pStyle w:val="PKTpunkt"/>
        <w:rPr>
          <w:rFonts w:ascii="Times New Roman" w:hAnsi="Times New Roman" w:cs="Times New Roman"/>
          <w:sz w:val="22"/>
          <w:szCs w:val="22"/>
        </w:rPr>
      </w:pPr>
    </w:p>
    <w:p w14:paraId="69C41AD0" w14:textId="14CE7BEC" w:rsidR="00654510" w:rsidRPr="00E93042" w:rsidRDefault="00654510" w:rsidP="008E205D">
      <w:pPr>
        <w:pStyle w:val="ARTartustawynprozporzdzenia"/>
        <w:rPr>
          <w:rFonts w:ascii="Times New Roman" w:hAnsi="Times New Roman" w:cs="Times New Roman"/>
          <w:sz w:val="22"/>
          <w:szCs w:val="22"/>
        </w:rPr>
      </w:pPr>
      <w:r w:rsidRPr="00E93042">
        <w:rPr>
          <w:rStyle w:val="Ppogrubienie"/>
          <w:rFonts w:ascii="Times New Roman" w:hAnsi="Times New Roman" w:cs="Times New Roman"/>
          <w:sz w:val="22"/>
          <w:szCs w:val="22"/>
        </w:rPr>
        <w:t>Art. 2.</w:t>
      </w:r>
      <w:r w:rsidRPr="00E93042">
        <w:rPr>
          <w:rFonts w:ascii="Times New Roman" w:hAnsi="Times New Roman" w:cs="Times New Roman"/>
          <w:sz w:val="22"/>
          <w:szCs w:val="22"/>
        </w:rPr>
        <w:t xml:space="preserve"> Maksymalny limit wydatków budżetu państwa, do wysokości których może zostać zasilony Fundusz Dopłat z przeznaczeniem na sfinansowanie wypłat finansowego wsparcia, o którym mowa w przepisach </w:t>
      </w:r>
      <w:r w:rsidR="00AB1371" w:rsidRPr="00E93042">
        <w:rPr>
          <w:rFonts w:ascii="Times New Roman" w:hAnsi="Times New Roman" w:cs="Times New Roman"/>
          <w:sz w:val="22"/>
          <w:szCs w:val="22"/>
        </w:rPr>
        <w:t>ustawy z dnia 8 grudnia 2006 r. o finansowym wsparciu tworzenia lokali socjalnych, mieszkań chronionych, noclegowni i domów dla bezdomnych (Dz. U. z 2017 r. poz. 1392)</w:t>
      </w:r>
      <w:r w:rsidRPr="00E93042">
        <w:rPr>
          <w:rFonts w:ascii="Times New Roman" w:hAnsi="Times New Roman" w:cs="Times New Roman"/>
          <w:sz w:val="22"/>
          <w:szCs w:val="22"/>
        </w:rPr>
        <w:t>, wynosi w okresie od 2026 r. do 2030 r. łącznie 39 454,5 mln zł, a w poszczególnych latach nie może przekroczyć kwoty:</w:t>
      </w:r>
    </w:p>
    <w:p w14:paraId="2345984C" w14:textId="57939F2E" w:rsidR="00654510" w:rsidRPr="00E93042" w:rsidRDefault="00654510" w:rsidP="008E205D">
      <w:pPr>
        <w:pStyle w:val="PKTpunkt"/>
        <w:rPr>
          <w:rFonts w:ascii="Times New Roman" w:hAnsi="Times New Roman" w:cs="Times New Roman"/>
          <w:sz w:val="22"/>
          <w:szCs w:val="22"/>
        </w:rPr>
      </w:pPr>
      <w:r w:rsidRPr="00E93042">
        <w:rPr>
          <w:rFonts w:ascii="Times New Roman" w:hAnsi="Times New Roman" w:cs="Times New Roman"/>
          <w:sz w:val="22"/>
          <w:szCs w:val="22"/>
        </w:rPr>
        <w:t>1)</w:t>
      </w:r>
      <w:r w:rsidRPr="00E93042">
        <w:rPr>
          <w:rFonts w:ascii="Times New Roman" w:hAnsi="Times New Roman" w:cs="Times New Roman"/>
          <w:sz w:val="22"/>
          <w:szCs w:val="22"/>
        </w:rPr>
        <w:tab/>
        <w:t>w 2026 r. – 5 627,0 mln zł;</w:t>
      </w:r>
    </w:p>
    <w:p w14:paraId="3FF06351" w14:textId="77777777" w:rsidR="00654510" w:rsidRPr="00E93042" w:rsidRDefault="00654510" w:rsidP="008E205D">
      <w:pPr>
        <w:pStyle w:val="PKTpunkt"/>
        <w:rPr>
          <w:rFonts w:ascii="Times New Roman" w:hAnsi="Times New Roman" w:cs="Times New Roman"/>
          <w:sz w:val="22"/>
          <w:szCs w:val="22"/>
        </w:rPr>
      </w:pPr>
      <w:r w:rsidRPr="00E93042">
        <w:rPr>
          <w:rFonts w:ascii="Times New Roman" w:hAnsi="Times New Roman" w:cs="Times New Roman"/>
          <w:sz w:val="22"/>
          <w:szCs w:val="22"/>
        </w:rPr>
        <w:t>2)</w:t>
      </w:r>
      <w:r w:rsidRPr="00E93042">
        <w:rPr>
          <w:rFonts w:ascii="Times New Roman" w:hAnsi="Times New Roman" w:cs="Times New Roman"/>
          <w:sz w:val="22"/>
          <w:szCs w:val="22"/>
        </w:rPr>
        <w:tab/>
        <w:t>w 2027 r. – 6 896,5mln zł;</w:t>
      </w:r>
    </w:p>
    <w:p w14:paraId="041EEDC0" w14:textId="77777777" w:rsidR="00654510" w:rsidRPr="00E93042" w:rsidRDefault="00654510" w:rsidP="008E205D">
      <w:pPr>
        <w:pStyle w:val="PKTpunkt"/>
        <w:rPr>
          <w:rFonts w:ascii="Times New Roman" w:hAnsi="Times New Roman" w:cs="Times New Roman"/>
          <w:sz w:val="22"/>
          <w:szCs w:val="22"/>
        </w:rPr>
      </w:pPr>
      <w:r w:rsidRPr="00E93042">
        <w:rPr>
          <w:rFonts w:ascii="Times New Roman" w:hAnsi="Times New Roman" w:cs="Times New Roman"/>
          <w:sz w:val="22"/>
          <w:szCs w:val="22"/>
        </w:rPr>
        <w:t>3)</w:t>
      </w:r>
      <w:r w:rsidRPr="00E93042">
        <w:rPr>
          <w:rFonts w:ascii="Times New Roman" w:hAnsi="Times New Roman" w:cs="Times New Roman"/>
          <w:sz w:val="22"/>
          <w:szCs w:val="22"/>
        </w:rPr>
        <w:tab/>
        <w:t>w 2028 r. – 7 931 mln zł;</w:t>
      </w:r>
    </w:p>
    <w:p w14:paraId="319391A1" w14:textId="77777777" w:rsidR="00654510" w:rsidRPr="00E93042" w:rsidRDefault="00654510" w:rsidP="008E205D">
      <w:pPr>
        <w:pStyle w:val="PKTpunkt"/>
        <w:rPr>
          <w:rFonts w:ascii="Times New Roman" w:hAnsi="Times New Roman" w:cs="Times New Roman"/>
          <w:sz w:val="22"/>
          <w:szCs w:val="22"/>
        </w:rPr>
      </w:pPr>
      <w:r w:rsidRPr="00E93042">
        <w:rPr>
          <w:rFonts w:ascii="Times New Roman" w:hAnsi="Times New Roman" w:cs="Times New Roman"/>
          <w:sz w:val="22"/>
          <w:szCs w:val="22"/>
        </w:rPr>
        <w:t>4)</w:t>
      </w:r>
      <w:r w:rsidRPr="00E93042">
        <w:rPr>
          <w:rFonts w:ascii="Times New Roman" w:hAnsi="Times New Roman" w:cs="Times New Roman"/>
          <w:sz w:val="22"/>
          <w:szCs w:val="22"/>
        </w:rPr>
        <w:tab/>
        <w:t>w 2029 r. – 9 000 mln zł;</w:t>
      </w:r>
    </w:p>
    <w:p w14:paraId="72BEE7BB" w14:textId="3B957009" w:rsidR="00C70702" w:rsidRPr="00E93042" w:rsidRDefault="00654510" w:rsidP="00EF1D78">
      <w:pPr>
        <w:pStyle w:val="PKTpunkt"/>
        <w:rPr>
          <w:rFonts w:ascii="Times New Roman" w:hAnsi="Times New Roman" w:cs="Times New Roman"/>
          <w:sz w:val="22"/>
          <w:szCs w:val="22"/>
        </w:rPr>
      </w:pPr>
      <w:r w:rsidRPr="00E93042">
        <w:rPr>
          <w:rFonts w:ascii="Times New Roman" w:hAnsi="Times New Roman" w:cs="Times New Roman"/>
          <w:sz w:val="22"/>
          <w:szCs w:val="22"/>
        </w:rPr>
        <w:t>5)</w:t>
      </w:r>
      <w:r w:rsidRPr="00E93042">
        <w:rPr>
          <w:rFonts w:ascii="Times New Roman" w:hAnsi="Times New Roman" w:cs="Times New Roman"/>
          <w:sz w:val="22"/>
          <w:szCs w:val="22"/>
        </w:rPr>
        <w:tab/>
        <w:t>w 2030 r. – 10 000 mln zł.</w:t>
      </w:r>
    </w:p>
    <w:p w14:paraId="5892DEE4" w14:textId="77777777" w:rsidR="00AB1371" w:rsidRPr="00E93042" w:rsidRDefault="00AB1371" w:rsidP="008E205D">
      <w:pPr>
        <w:pStyle w:val="PKTpunkt"/>
        <w:rPr>
          <w:rFonts w:ascii="Times New Roman" w:hAnsi="Times New Roman" w:cs="Times New Roman"/>
          <w:sz w:val="22"/>
          <w:szCs w:val="22"/>
        </w:rPr>
      </w:pPr>
    </w:p>
    <w:p w14:paraId="769E89EC" w14:textId="62ED75A2" w:rsidR="00C70702" w:rsidRPr="00E93042" w:rsidRDefault="00AB1371" w:rsidP="008E205D">
      <w:pPr>
        <w:pStyle w:val="ARTartustawynprozporzdzenia"/>
        <w:rPr>
          <w:rFonts w:ascii="Times New Roman" w:hAnsi="Times New Roman" w:cs="Times New Roman"/>
          <w:sz w:val="22"/>
          <w:szCs w:val="22"/>
        </w:rPr>
      </w:pPr>
      <w:r w:rsidRPr="00E93042">
        <w:rPr>
          <w:rStyle w:val="Ppogrubienie"/>
          <w:rFonts w:ascii="Times New Roman" w:hAnsi="Times New Roman" w:cs="Times New Roman"/>
          <w:sz w:val="22"/>
          <w:szCs w:val="22"/>
        </w:rPr>
        <w:t>Art. 3.</w:t>
      </w:r>
      <w:r w:rsidRPr="00E93042">
        <w:rPr>
          <w:rFonts w:ascii="Times New Roman" w:hAnsi="Times New Roman" w:cs="Times New Roman"/>
          <w:sz w:val="22"/>
          <w:szCs w:val="22"/>
        </w:rPr>
        <w:t xml:space="preserve"> </w:t>
      </w:r>
      <w:r w:rsidR="00C70702" w:rsidRPr="00E93042">
        <w:rPr>
          <w:rFonts w:ascii="Times New Roman" w:hAnsi="Times New Roman" w:cs="Times New Roman"/>
          <w:sz w:val="22"/>
          <w:szCs w:val="22"/>
        </w:rPr>
        <w:t>W ustawie z dnia 10 września 2015 r. o zmianie ustawy o niektórych formach popierania budownictwa mieszkaniowego oraz niektórych innych ustaw (Dz. U. poz. 1582) w art. 9 w ust. 1:</w:t>
      </w:r>
    </w:p>
    <w:p w14:paraId="3B1E0976" w14:textId="77777777" w:rsidR="00C70702" w:rsidRPr="00E93042" w:rsidRDefault="00C70702" w:rsidP="008E205D">
      <w:pPr>
        <w:pStyle w:val="PKTpunkt"/>
        <w:rPr>
          <w:rFonts w:ascii="Times New Roman" w:hAnsi="Times New Roman" w:cs="Times New Roman"/>
          <w:sz w:val="22"/>
          <w:szCs w:val="22"/>
        </w:rPr>
      </w:pPr>
      <w:r w:rsidRPr="00E93042">
        <w:rPr>
          <w:rFonts w:ascii="Times New Roman" w:hAnsi="Times New Roman" w:cs="Times New Roman"/>
          <w:sz w:val="22"/>
          <w:szCs w:val="22"/>
        </w:rPr>
        <w:t>1)</w:t>
      </w:r>
      <w:r w:rsidRPr="00E93042">
        <w:rPr>
          <w:rFonts w:ascii="Times New Roman" w:hAnsi="Times New Roman" w:cs="Times New Roman"/>
          <w:sz w:val="22"/>
          <w:szCs w:val="22"/>
        </w:rPr>
        <w:tab/>
        <w:t>we wprowadzeniu do wyliczenia wyrazy „w art. 15c ust. 2” zastępuje się wyrazami „art. 15c ust. 2 pkt 2",</w:t>
      </w:r>
    </w:p>
    <w:p w14:paraId="49980438" w14:textId="4AC6A4EA" w:rsidR="003B5241" w:rsidRPr="00E93042" w:rsidRDefault="00C70702" w:rsidP="008E205D">
      <w:pPr>
        <w:pStyle w:val="PKTpunkt"/>
        <w:rPr>
          <w:rFonts w:ascii="Times New Roman" w:hAnsi="Times New Roman" w:cs="Times New Roman"/>
          <w:sz w:val="22"/>
          <w:szCs w:val="22"/>
        </w:rPr>
      </w:pPr>
      <w:r w:rsidRPr="00E93042">
        <w:rPr>
          <w:rFonts w:ascii="Times New Roman" w:hAnsi="Times New Roman" w:cs="Times New Roman"/>
          <w:sz w:val="22"/>
          <w:szCs w:val="22"/>
        </w:rPr>
        <w:t>2)</w:t>
      </w:r>
      <w:r w:rsidRPr="00E93042">
        <w:rPr>
          <w:rFonts w:ascii="Times New Roman" w:hAnsi="Times New Roman" w:cs="Times New Roman"/>
          <w:sz w:val="22"/>
          <w:szCs w:val="22"/>
        </w:rPr>
        <w:tab/>
        <w:t>w pkt 10 wyrazy „73,2 mln zł” zastępuje się wyrazami „129,9 mln zł”.</w:t>
      </w:r>
    </w:p>
    <w:p w14:paraId="4F0BF725" w14:textId="77777777" w:rsidR="00C70702" w:rsidRPr="00E93042" w:rsidRDefault="00C70702" w:rsidP="008E205D">
      <w:pPr>
        <w:pStyle w:val="PKTpunkt"/>
        <w:rPr>
          <w:rFonts w:ascii="Times New Roman" w:hAnsi="Times New Roman" w:cs="Times New Roman"/>
          <w:sz w:val="22"/>
          <w:szCs w:val="22"/>
        </w:rPr>
      </w:pPr>
    </w:p>
    <w:p w14:paraId="53663EDB" w14:textId="615861E3" w:rsidR="00C70702" w:rsidRPr="00E93042" w:rsidRDefault="00AB1371" w:rsidP="008E205D">
      <w:pPr>
        <w:pStyle w:val="ARTartustawynprozporzdzenia"/>
        <w:rPr>
          <w:rFonts w:ascii="Times New Roman" w:hAnsi="Times New Roman" w:cs="Times New Roman"/>
          <w:sz w:val="22"/>
          <w:szCs w:val="22"/>
        </w:rPr>
      </w:pPr>
      <w:r w:rsidRPr="00E93042">
        <w:rPr>
          <w:rStyle w:val="Ppogrubienie"/>
          <w:rFonts w:ascii="Times New Roman" w:hAnsi="Times New Roman" w:cs="Times New Roman"/>
          <w:sz w:val="22"/>
          <w:szCs w:val="22"/>
        </w:rPr>
        <w:t xml:space="preserve">Art. </w:t>
      </w:r>
      <w:r w:rsidR="008E205D" w:rsidRPr="00E93042">
        <w:rPr>
          <w:rStyle w:val="Ppogrubienie"/>
          <w:rFonts w:ascii="Times New Roman" w:hAnsi="Times New Roman" w:cs="Times New Roman"/>
          <w:sz w:val="22"/>
          <w:szCs w:val="22"/>
        </w:rPr>
        <w:t>4</w:t>
      </w:r>
      <w:r w:rsidRPr="00E93042">
        <w:rPr>
          <w:rStyle w:val="Ppogrubienie"/>
          <w:rFonts w:ascii="Times New Roman" w:hAnsi="Times New Roman" w:cs="Times New Roman"/>
          <w:sz w:val="22"/>
          <w:szCs w:val="22"/>
        </w:rPr>
        <w:t>.</w:t>
      </w:r>
      <w:r w:rsidRPr="00E93042">
        <w:rPr>
          <w:rFonts w:ascii="Times New Roman" w:hAnsi="Times New Roman" w:cs="Times New Roman"/>
          <w:sz w:val="22"/>
          <w:szCs w:val="22"/>
        </w:rPr>
        <w:t xml:space="preserve"> Maksymalny limit środków budżetu państwa, do wysokości których może zostać zasilony Fundusz Dopłat, przeznaczonych na dopłaty dla Banku Gospodarstwa Krajowego, o których mowa w art. 15c ust. 2 pkt 2 ustawy zmienianej w art. 3, nie może przekroczyć w 2026 r. kwoty 344,6 mln zł.</w:t>
      </w:r>
    </w:p>
    <w:p w14:paraId="243F8D69" w14:textId="77777777" w:rsidR="00680B5E" w:rsidRPr="00E93042" w:rsidRDefault="00680B5E" w:rsidP="008E205D">
      <w:pPr>
        <w:pStyle w:val="ARTartustawynprozporzdzenia"/>
        <w:rPr>
          <w:rFonts w:ascii="Times New Roman" w:hAnsi="Times New Roman" w:cs="Times New Roman"/>
          <w:sz w:val="22"/>
          <w:szCs w:val="22"/>
        </w:rPr>
      </w:pPr>
    </w:p>
    <w:p w14:paraId="12B29168" w14:textId="0205181C" w:rsidR="00C70702" w:rsidRPr="00E93042" w:rsidRDefault="00C70702" w:rsidP="008E205D">
      <w:pPr>
        <w:pStyle w:val="ARTartustawynprozporzdzenia"/>
        <w:rPr>
          <w:rFonts w:ascii="Times New Roman" w:hAnsi="Times New Roman" w:cs="Times New Roman"/>
          <w:sz w:val="22"/>
          <w:szCs w:val="22"/>
        </w:rPr>
      </w:pPr>
      <w:r w:rsidRPr="00E93042">
        <w:rPr>
          <w:rStyle w:val="Ppogrubienie"/>
          <w:rFonts w:ascii="Times New Roman" w:hAnsi="Times New Roman" w:cs="Times New Roman"/>
          <w:sz w:val="22"/>
          <w:szCs w:val="22"/>
        </w:rPr>
        <w:t xml:space="preserve">Art. </w:t>
      </w:r>
      <w:r w:rsidR="008E205D" w:rsidRPr="00E93042">
        <w:rPr>
          <w:rStyle w:val="Ppogrubienie"/>
          <w:rFonts w:ascii="Times New Roman" w:hAnsi="Times New Roman" w:cs="Times New Roman"/>
          <w:sz w:val="22"/>
          <w:szCs w:val="22"/>
        </w:rPr>
        <w:t>5</w:t>
      </w:r>
      <w:r w:rsidRPr="00E93042">
        <w:rPr>
          <w:rStyle w:val="Ppogrubienie"/>
          <w:rFonts w:ascii="Times New Roman" w:hAnsi="Times New Roman" w:cs="Times New Roman"/>
          <w:sz w:val="22"/>
          <w:szCs w:val="22"/>
        </w:rPr>
        <w:t>.</w:t>
      </w:r>
      <w:r w:rsidRPr="00E93042">
        <w:rPr>
          <w:rFonts w:ascii="Times New Roman" w:hAnsi="Times New Roman" w:cs="Times New Roman"/>
          <w:sz w:val="22"/>
          <w:szCs w:val="22"/>
        </w:rPr>
        <w:t xml:space="preserve"> W ustawie z dnia 26 maja 2023 r. o pomocy państwa w oszczędzaniu na cele mieszkaniowe (Dz. U. poz. 1114) w art. 45 w ust. 1 wprowadza się następujące zmiany:</w:t>
      </w:r>
    </w:p>
    <w:p w14:paraId="7C12A5AF" w14:textId="07C691A2" w:rsidR="00C70702" w:rsidRPr="00E93042" w:rsidRDefault="00C70702" w:rsidP="008E205D">
      <w:pPr>
        <w:pStyle w:val="LITlitera"/>
        <w:ind w:left="476"/>
        <w:rPr>
          <w:rFonts w:ascii="Times New Roman" w:hAnsi="Times New Roman" w:cs="Times New Roman"/>
          <w:sz w:val="22"/>
          <w:szCs w:val="22"/>
        </w:rPr>
      </w:pPr>
      <w:r w:rsidRPr="00E93042">
        <w:rPr>
          <w:rFonts w:ascii="Times New Roman" w:hAnsi="Times New Roman" w:cs="Times New Roman"/>
          <w:sz w:val="22"/>
          <w:szCs w:val="22"/>
        </w:rPr>
        <w:t>1) w pkt 4 wyrazy „55 000 000 zł” zastępuje się wyrazami „83 400 000 zł”,</w:t>
      </w:r>
    </w:p>
    <w:p w14:paraId="726B1C50" w14:textId="553A8E79" w:rsidR="00C70702" w:rsidRPr="00E93042" w:rsidRDefault="00C70702" w:rsidP="008E205D">
      <w:pPr>
        <w:pStyle w:val="LITlitera"/>
        <w:ind w:left="476"/>
        <w:rPr>
          <w:rFonts w:ascii="Times New Roman" w:hAnsi="Times New Roman" w:cs="Times New Roman"/>
          <w:sz w:val="22"/>
          <w:szCs w:val="22"/>
        </w:rPr>
      </w:pPr>
      <w:r w:rsidRPr="00E93042">
        <w:rPr>
          <w:rFonts w:ascii="Times New Roman" w:hAnsi="Times New Roman" w:cs="Times New Roman"/>
          <w:sz w:val="22"/>
          <w:szCs w:val="22"/>
        </w:rPr>
        <w:t>2) w pkt 5 wyrazy „63 900 000 zł” zastępuje się wyrazami „167 400 000 zł”;</w:t>
      </w:r>
    </w:p>
    <w:p w14:paraId="122A1F14" w14:textId="2A410575" w:rsidR="00C70702" w:rsidRPr="00E93042" w:rsidRDefault="00C70702" w:rsidP="008E205D">
      <w:pPr>
        <w:pStyle w:val="LITlitera"/>
        <w:ind w:left="476"/>
        <w:rPr>
          <w:rFonts w:ascii="Times New Roman" w:hAnsi="Times New Roman" w:cs="Times New Roman"/>
          <w:sz w:val="22"/>
          <w:szCs w:val="22"/>
        </w:rPr>
      </w:pPr>
      <w:r w:rsidRPr="00E93042">
        <w:rPr>
          <w:rFonts w:ascii="Times New Roman" w:hAnsi="Times New Roman" w:cs="Times New Roman"/>
          <w:sz w:val="22"/>
          <w:szCs w:val="22"/>
        </w:rPr>
        <w:t>3) w pkt 6 wyrazy „0 zł” zastępuje się wyrazami „69 000 000 zł”;</w:t>
      </w:r>
    </w:p>
    <w:p w14:paraId="5932254B" w14:textId="77777777" w:rsidR="00C70702" w:rsidRPr="00E93042" w:rsidRDefault="00C70702" w:rsidP="00763FE0">
      <w:pPr>
        <w:pStyle w:val="ZLITPKTzmpktliter"/>
        <w:ind w:left="0" w:firstLine="0"/>
        <w:rPr>
          <w:rFonts w:ascii="Times New Roman" w:hAnsi="Times New Roman" w:cs="Times New Roman"/>
          <w:sz w:val="22"/>
          <w:szCs w:val="22"/>
        </w:rPr>
      </w:pPr>
    </w:p>
    <w:p w14:paraId="107D829B" w14:textId="40343676" w:rsidR="00AB1371" w:rsidRPr="00E93042" w:rsidRDefault="003B5241" w:rsidP="008E205D">
      <w:pPr>
        <w:pStyle w:val="ARTartustawynprozporzdzenia"/>
        <w:rPr>
          <w:rFonts w:ascii="Times New Roman" w:hAnsi="Times New Roman" w:cs="Times New Roman"/>
          <w:sz w:val="22"/>
          <w:szCs w:val="22"/>
        </w:rPr>
      </w:pPr>
      <w:r w:rsidRPr="00E93042">
        <w:rPr>
          <w:rStyle w:val="Ppogrubienie"/>
          <w:rFonts w:ascii="Times New Roman" w:hAnsi="Times New Roman" w:cs="Times New Roman"/>
          <w:sz w:val="22"/>
          <w:szCs w:val="22"/>
        </w:rPr>
        <w:t xml:space="preserve">Art. </w:t>
      </w:r>
      <w:r w:rsidR="00763FE0" w:rsidRPr="00E93042">
        <w:rPr>
          <w:rStyle w:val="Ppogrubienie"/>
          <w:rFonts w:ascii="Times New Roman" w:hAnsi="Times New Roman" w:cs="Times New Roman"/>
          <w:sz w:val="22"/>
          <w:szCs w:val="22"/>
        </w:rPr>
        <w:t>6</w:t>
      </w:r>
      <w:r w:rsidRPr="00E93042">
        <w:rPr>
          <w:rStyle w:val="Ppogrubienie"/>
          <w:rFonts w:ascii="Times New Roman" w:hAnsi="Times New Roman" w:cs="Times New Roman"/>
          <w:sz w:val="22"/>
          <w:szCs w:val="22"/>
        </w:rPr>
        <w:t>.</w:t>
      </w:r>
      <w:r w:rsidRPr="00E93042">
        <w:rPr>
          <w:rFonts w:ascii="Times New Roman" w:hAnsi="Times New Roman" w:cs="Times New Roman"/>
          <w:sz w:val="22"/>
          <w:szCs w:val="22"/>
        </w:rPr>
        <w:t xml:space="preserve"> Ustawa wchodzi w życie z dniem następującym po dniu ogłoszeniu.</w:t>
      </w:r>
    </w:p>
    <w:p w14:paraId="072B0DCB" w14:textId="7B5E4448" w:rsidR="00274CF5" w:rsidRPr="00E93042" w:rsidRDefault="00274CF5" w:rsidP="008E205D">
      <w:pPr>
        <w:pStyle w:val="PKTpunkt"/>
        <w:ind w:left="0" w:firstLine="0"/>
        <w:rPr>
          <w:rFonts w:ascii="Times New Roman" w:hAnsi="Times New Roman" w:cs="Times New Roman"/>
          <w:sz w:val="22"/>
          <w:szCs w:val="22"/>
        </w:rPr>
      </w:pPr>
    </w:p>
    <w:p w14:paraId="37887291" w14:textId="77777777" w:rsidR="00EF1D78" w:rsidRPr="00E93042" w:rsidRDefault="00EF1D78" w:rsidP="008E205D">
      <w:pPr>
        <w:pStyle w:val="PKTpunkt"/>
        <w:ind w:left="0" w:firstLine="0"/>
        <w:rPr>
          <w:rFonts w:ascii="Times New Roman" w:hAnsi="Times New Roman" w:cs="Times New Roman"/>
          <w:sz w:val="22"/>
          <w:szCs w:val="22"/>
        </w:rPr>
      </w:pPr>
    </w:p>
    <w:p w14:paraId="7DA057DD" w14:textId="77777777" w:rsidR="00EF1D78" w:rsidRPr="00E93042" w:rsidRDefault="00EF1D78" w:rsidP="008E205D">
      <w:pPr>
        <w:pStyle w:val="PKTpunkt"/>
        <w:ind w:left="0" w:firstLine="0"/>
        <w:rPr>
          <w:rFonts w:ascii="Times New Roman" w:hAnsi="Times New Roman" w:cs="Times New Roman"/>
          <w:sz w:val="22"/>
          <w:szCs w:val="22"/>
        </w:rPr>
      </w:pPr>
    </w:p>
    <w:p w14:paraId="3CD3206B" w14:textId="77777777" w:rsidR="00EF1D78" w:rsidRPr="00E93042" w:rsidRDefault="00EF1D78" w:rsidP="008E205D">
      <w:pPr>
        <w:pStyle w:val="PKTpunkt"/>
        <w:ind w:left="0" w:firstLine="0"/>
        <w:rPr>
          <w:rFonts w:ascii="Times New Roman" w:hAnsi="Times New Roman" w:cs="Times New Roman"/>
          <w:sz w:val="22"/>
          <w:szCs w:val="22"/>
        </w:rPr>
      </w:pPr>
    </w:p>
    <w:p w14:paraId="40599D7C" w14:textId="77777777" w:rsidR="00EF1D78" w:rsidRPr="00E93042" w:rsidRDefault="00EF1D78" w:rsidP="008E205D">
      <w:pPr>
        <w:pStyle w:val="PKTpunkt"/>
        <w:ind w:left="0" w:firstLine="0"/>
        <w:rPr>
          <w:rFonts w:ascii="Times New Roman" w:hAnsi="Times New Roman" w:cs="Times New Roman"/>
          <w:sz w:val="22"/>
          <w:szCs w:val="22"/>
        </w:rPr>
      </w:pPr>
    </w:p>
    <w:p w14:paraId="72E828FD" w14:textId="77777777" w:rsidR="00EF1D78" w:rsidRPr="00E93042" w:rsidRDefault="00EF1D78" w:rsidP="008E205D">
      <w:pPr>
        <w:pStyle w:val="PKTpunkt"/>
        <w:ind w:left="0" w:firstLine="0"/>
        <w:rPr>
          <w:rFonts w:ascii="Times New Roman" w:hAnsi="Times New Roman" w:cs="Times New Roman"/>
          <w:sz w:val="22"/>
          <w:szCs w:val="22"/>
        </w:rPr>
      </w:pPr>
    </w:p>
    <w:p w14:paraId="7CA0A7CE" w14:textId="77777777" w:rsidR="00EF1D78" w:rsidRPr="00E93042" w:rsidRDefault="00EF1D78" w:rsidP="008E205D">
      <w:pPr>
        <w:pStyle w:val="PKTpunkt"/>
        <w:ind w:left="0" w:firstLine="0"/>
        <w:rPr>
          <w:rFonts w:ascii="Times New Roman" w:hAnsi="Times New Roman" w:cs="Times New Roman"/>
          <w:sz w:val="22"/>
          <w:szCs w:val="22"/>
        </w:rPr>
      </w:pPr>
    </w:p>
    <w:p w14:paraId="0AA91D6B" w14:textId="77777777" w:rsidR="00EF1D78" w:rsidRPr="00E93042" w:rsidRDefault="00EF1D78" w:rsidP="008E205D">
      <w:pPr>
        <w:pStyle w:val="PKTpunkt"/>
        <w:ind w:left="0" w:firstLine="0"/>
        <w:rPr>
          <w:rFonts w:ascii="Times New Roman" w:hAnsi="Times New Roman" w:cs="Times New Roman"/>
          <w:sz w:val="22"/>
          <w:szCs w:val="22"/>
        </w:rPr>
      </w:pPr>
    </w:p>
    <w:p w14:paraId="127871F8" w14:textId="77777777" w:rsidR="00EF1D78" w:rsidRPr="00E93042" w:rsidRDefault="00EF1D78" w:rsidP="008E205D">
      <w:pPr>
        <w:pStyle w:val="PKTpunkt"/>
        <w:ind w:left="0" w:firstLine="0"/>
        <w:rPr>
          <w:rFonts w:ascii="Times New Roman" w:hAnsi="Times New Roman" w:cs="Times New Roman"/>
          <w:sz w:val="22"/>
          <w:szCs w:val="22"/>
        </w:rPr>
      </w:pPr>
    </w:p>
    <w:p w14:paraId="1C70A735" w14:textId="77777777" w:rsidR="00EF1D78" w:rsidRPr="00E93042" w:rsidRDefault="00EF1D78" w:rsidP="008E205D">
      <w:pPr>
        <w:pStyle w:val="PKTpunkt"/>
        <w:ind w:left="0" w:firstLine="0"/>
        <w:rPr>
          <w:rFonts w:ascii="Times New Roman" w:hAnsi="Times New Roman" w:cs="Times New Roman"/>
          <w:sz w:val="22"/>
          <w:szCs w:val="22"/>
        </w:rPr>
      </w:pPr>
    </w:p>
    <w:p w14:paraId="1CC11375" w14:textId="77777777" w:rsidR="00EF1D78" w:rsidRPr="00E93042" w:rsidRDefault="00EF1D78" w:rsidP="008E205D">
      <w:pPr>
        <w:pStyle w:val="PKTpunkt"/>
        <w:ind w:left="0" w:firstLine="0"/>
        <w:rPr>
          <w:rFonts w:ascii="Times New Roman" w:hAnsi="Times New Roman" w:cs="Times New Roman"/>
          <w:sz w:val="22"/>
          <w:szCs w:val="22"/>
        </w:rPr>
      </w:pPr>
    </w:p>
    <w:p w14:paraId="41ECF68C" w14:textId="77777777" w:rsidR="00EF1D78" w:rsidRPr="00E93042" w:rsidRDefault="00EF1D78" w:rsidP="008E205D">
      <w:pPr>
        <w:pStyle w:val="PKTpunkt"/>
        <w:ind w:left="0" w:firstLine="0"/>
        <w:rPr>
          <w:rFonts w:ascii="Times New Roman" w:hAnsi="Times New Roman" w:cs="Times New Roman"/>
          <w:sz w:val="22"/>
          <w:szCs w:val="22"/>
        </w:rPr>
      </w:pPr>
    </w:p>
    <w:p w14:paraId="3BBCE161" w14:textId="77777777" w:rsidR="00EF1D78" w:rsidRPr="00E93042" w:rsidRDefault="00EF1D78" w:rsidP="008E205D">
      <w:pPr>
        <w:pStyle w:val="PKTpunkt"/>
        <w:ind w:left="0" w:firstLine="0"/>
        <w:rPr>
          <w:rFonts w:ascii="Times New Roman" w:hAnsi="Times New Roman" w:cs="Times New Roman"/>
          <w:sz w:val="22"/>
          <w:szCs w:val="22"/>
        </w:rPr>
      </w:pPr>
    </w:p>
    <w:p w14:paraId="3CAE55FB" w14:textId="77777777" w:rsidR="00EF1D78" w:rsidRPr="00E93042" w:rsidRDefault="00EF1D78" w:rsidP="008E205D">
      <w:pPr>
        <w:pStyle w:val="PKTpunkt"/>
        <w:ind w:left="0" w:firstLine="0"/>
        <w:rPr>
          <w:rFonts w:ascii="Times New Roman" w:hAnsi="Times New Roman" w:cs="Times New Roman"/>
          <w:sz w:val="22"/>
          <w:szCs w:val="22"/>
        </w:rPr>
      </w:pPr>
    </w:p>
    <w:p w14:paraId="39B0DD6E" w14:textId="77777777" w:rsidR="00763FE0" w:rsidRPr="00E93042" w:rsidRDefault="00763FE0" w:rsidP="008E205D">
      <w:pPr>
        <w:pStyle w:val="PKTpunkt"/>
        <w:ind w:left="0" w:firstLine="0"/>
        <w:rPr>
          <w:rFonts w:ascii="Times New Roman" w:hAnsi="Times New Roman" w:cs="Times New Roman"/>
          <w:sz w:val="22"/>
          <w:szCs w:val="22"/>
        </w:rPr>
      </w:pPr>
    </w:p>
    <w:p w14:paraId="10F3B619" w14:textId="77777777" w:rsidR="00763FE0" w:rsidRPr="00E93042" w:rsidRDefault="00763FE0" w:rsidP="008E205D">
      <w:pPr>
        <w:pStyle w:val="PKTpunkt"/>
        <w:ind w:left="0" w:firstLine="0"/>
        <w:rPr>
          <w:rFonts w:ascii="Times New Roman" w:hAnsi="Times New Roman" w:cs="Times New Roman"/>
          <w:sz w:val="22"/>
          <w:szCs w:val="22"/>
        </w:rPr>
      </w:pPr>
    </w:p>
    <w:p w14:paraId="67581446" w14:textId="77777777" w:rsidR="00763FE0" w:rsidRPr="00E93042" w:rsidRDefault="00763FE0" w:rsidP="008E205D">
      <w:pPr>
        <w:pStyle w:val="PKTpunkt"/>
        <w:ind w:left="0" w:firstLine="0"/>
        <w:rPr>
          <w:rFonts w:ascii="Times New Roman" w:hAnsi="Times New Roman" w:cs="Times New Roman"/>
          <w:sz w:val="22"/>
          <w:szCs w:val="22"/>
        </w:rPr>
      </w:pPr>
    </w:p>
    <w:p w14:paraId="05583ED7" w14:textId="77777777" w:rsidR="00763FE0" w:rsidRPr="00E93042" w:rsidRDefault="00763FE0" w:rsidP="008E205D">
      <w:pPr>
        <w:pStyle w:val="PKTpunkt"/>
        <w:ind w:left="0" w:firstLine="0"/>
        <w:rPr>
          <w:rFonts w:ascii="Times New Roman" w:hAnsi="Times New Roman" w:cs="Times New Roman"/>
          <w:sz w:val="22"/>
          <w:szCs w:val="22"/>
        </w:rPr>
      </w:pPr>
    </w:p>
    <w:p w14:paraId="3DCD052A" w14:textId="77777777" w:rsidR="00763FE0" w:rsidRPr="00E93042" w:rsidRDefault="00763FE0" w:rsidP="008E205D">
      <w:pPr>
        <w:pStyle w:val="PKTpunkt"/>
        <w:ind w:left="0" w:firstLine="0"/>
        <w:rPr>
          <w:rFonts w:ascii="Times New Roman" w:hAnsi="Times New Roman" w:cs="Times New Roman"/>
          <w:sz w:val="22"/>
          <w:szCs w:val="22"/>
        </w:rPr>
      </w:pPr>
    </w:p>
    <w:p w14:paraId="67915EB7" w14:textId="77777777" w:rsidR="00763FE0" w:rsidRPr="00E93042" w:rsidRDefault="00763FE0" w:rsidP="008E205D">
      <w:pPr>
        <w:pStyle w:val="PKTpunkt"/>
        <w:ind w:left="0" w:firstLine="0"/>
        <w:rPr>
          <w:rFonts w:ascii="Times New Roman" w:hAnsi="Times New Roman" w:cs="Times New Roman"/>
          <w:sz w:val="22"/>
          <w:szCs w:val="22"/>
        </w:rPr>
      </w:pPr>
    </w:p>
    <w:p w14:paraId="3C842AF9" w14:textId="77777777" w:rsidR="00763FE0" w:rsidRPr="00E93042" w:rsidRDefault="00763FE0" w:rsidP="008E205D">
      <w:pPr>
        <w:pStyle w:val="PKTpunkt"/>
        <w:ind w:left="0" w:firstLine="0"/>
        <w:rPr>
          <w:rFonts w:ascii="Times New Roman" w:hAnsi="Times New Roman" w:cs="Times New Roman"/>
          <w:sz w:val="22"/>
          <w:szCs w:val="22"/>
        </w:rPr>
      </w:pPr>
    </w:p>
    <w:p w14:paraId="5B882EF4" w14:textId="77777777" w:rsidR="00763FE0" w:rsidRPr="00E93042" w:rsidRDefault="00763FE0" w:rsidP="008E205D">
      <w:pPr>
        <w:pStyle w:val="PKTpunkt"/>
        <w:ind w:left="0" w:firstLine="0"/>
        <w:rPr>
          <w:rFonts w:ascii="Times New Roman" w:hAnsi="Times New Roman" w:cs="Times New Roman"/>
          <w:sz w:val="22"/>
          <w:szCs w:val="22"/>
        </w:rPr>
      </w:pPr>
    </w:p>
    <w:p w14:paraId="0C015CBD" w14:textId="77777777" w:rsidR="00763FE0" w:rsidRPr="00E93042" w:rsidRDefault="00763FE0" w:rsidP="008E205D">
      <w:pPr>
        <w:pStyle w:val="PKTpunkt"/>
        <w:ind w:left="0" w:firstLine="0"/>
        <w:rPr>
          <w:rFonts w:ascii="Times New Roman" w:hAnsi="Times New Roman" w:cs="Times New Roman"/>
          <w:sz w:val="22"/>
          <w:szCs w:val="22"/>
        </w:rPr>
      </w:pPr>
    </w:p>
    <w:p w14:paraId="6CC6A5F8" w14:textId="3AFEDB67" w:rsidR="00274CF5" w:rsidRPr="00E93042" w:rsidRDefault="00274CF5" w:rsidP="00E93042">
      <w:pPr>
        <w:pStyle w:val="PKTpunkt"/>
        <w:ind w:left="0" w:firstLine="0"/>
        <w:jc w:val="center"/>
        <w:rPr>
          <w:rFonts w:ascii="Times New Roman" w:hAnsi="Times New Roman" w:cs="Times New Roman"/>
          <w:sz w:val="22"/>
          <w:szCs w:val="22"/>
        </w:rPr>
      </w:pPr>
      <w:r w:rsidRPr="00E93042">
        <w:rPr>
          <w:rFonts w:ascii="Times New Roman" w:hAnsi="Times New Roman" w:cs="Times New Roman"/>
          <w:b/>
          <w:bCs w:val="0"/>
          <w:sz w:val="22"/>
          <w:szCs w:val="22"/>
        </w:rPr>
        <w:lastRenderedPageBreak/>
        <w:t>UZASADNIENIE</w:t>
      </w:r>
    </w:p>
    <w:p w14:paraId="41071172" w14:textId="77777777" w:rsidR="00274CF5" w:rsidRPr="00E93042" w:rsidRDefault="00274CF5" w:rsidP="008E205D">
      <w:pPr>
        <w:pStyle w:val="PKTpunkt"/>
        <w:ind w:left="0" w:firstLine="0"/>
        <w:rPr>
          <w:rFonts w:ascii="Times New Roman" w:hAnsi="Times New Roman" w:cs="Times New Roman"/>
          <w:b/>
          <w:bCs w:val="0"/>
          <w:sz w:val="22"/>
          <w:szCs w:val="22"/>
        </w:rPr>
      </w:pPr>
    </w:p>
    <w:p w14:paraId="5B0B40F9" w14:textId="68BCEC05" w:rsidR="00274CF5" w:rsidRPr="00E93042" w:rsidRDefault="00274CF5" w:rsidP="008E205D">
      <w:pPr>
        <w:pStyle w:val="PKTpunkt"/>
        <w:numPr>
          <w:ilvl w:val="0"/>
          <w:numId w:val="2"/>
        </w:numPr>
        <w:rPr>
          <w:rFonts w:ascii="Times New Roman" w:hAnsi="Times New Roman" w:cs="Times New Roman"/>
          <w:b/>
          <w:bCs w:val="0"/>
          <w:sz w:val="22"/>
          <w:szCs w:val="22"/>
        </w:rPr>
      </w:pPr>
      <w:r w:rsidRPr="00E93042">
        <w:rPr>
          <w:rFonts w:ascii="Times New Roman" w:hAnsi="Times New Roman" w:cs="Times New Roman"/>
          <w:b/>
          <w:bCs w:val="0"/>
          <w:sz w:val="22"/>
          <w:szCs w:val="22"/>
        </w:rPr>
        <w:t>Potrzeba i cel wydania ustawy</w:t>
      </w:r>
    </w:p>
    <w:p w14:paraId="3A712018" w14:textId="77777777" w:rsidR="004B0846" w:rsidRPr="00E93042" w:rsidRDefault="004B0846" w:rsidP="008E205D">
      <w:pPr>
        <w:pStyle w:val="PKTpunkt"/>
        <w:ind w:left="720" w:firstLine="0"/>
        <w:rPr>
          <w:rFonts w:ascii="Times New Roman" w:hAnsi="Times New Roman" w:cs="Times New Roman"/>
          <w:b/>
          <w:bCs w:val="0"/>
          <w:sz w:val="22"/>
          <w:szCs w:val="22"/>
        </w:rPr>
      </w:pPr>
    </w:p>
    <w:p w14:paraId="5FE27FE8" w14:textId="5BDAD84C" w:rsidR="004B0846" w:rsidRPr="00E93042" w:rsidRDefault="004B0846" w:rsidP="008E205D">
      <w:pPr>
        <w:spacing w:after="120" w:line="360" w:lineRule="auto"/>
        <w:ind w:left="360"/>
        <w:jc w:val="both"/>
        <w:rPr>
          <w:rFonts w:ascii="Times New Roman" w:hAnsi="Times New Roman"/>
        </w:rPr>
      </w:pPr>
      <w:r w:rsidRPr="00E93042">
        <w:rPr>
          <w:rFonts w:ascii="Times New Roman" w:hAnsi="Times New Roman"/>
          <w:color w:val="000000"/>
        </w:rPr>
        <w:t xml:space="preserve">Projekt </w:t>
      </w:r>
      <w:r w:rsidR="0097270E" w:rsidRPr="00E93042">
        <w:rPr>
          <w:rFonts w:ascii="Times New Roman" w:hAnsi="Times New Roman"/>
          <w:color w:val="000000"/>
        </w:rPr>
        <w:t>ustawy o zmianie ustawy o finansowym wsparciu tworzenia lokali socjalnych, mieszkań chronionych, noclegowni i domów dla bezdomnych oraz niektórych innych ustaw</w:t>
      </w:r>
      <w:r w:rsidRPr="00E93042">
        <w:rPr>
          <w:rFonts w:ascii="Times New Roman" w:hAnsi="Times New Roman"/>
          <w:color w:val="000000"/>
        </w:rPr>
        <w:t xml:space="preserve"> zwany dalej „projekt ustawy”, jest kontynuacją dotychczas podejmowanych działań legislacyjnych odnoszących się do rozbudowy segmentu mieszkań czynszowych </w:t>
      </w:r>
      <w:r w:rsidRPr="00E93042">
        <w:rPr>
          <w:rFonts w:ascii="Times New Roman" w:hAnsi="Times New Roman"/>
        </w:rPr>
        <w:t xml:space="preserve">(mieszkaniowy zasób gminy oraz społeczne budownictwo czynszowe – lokale użytkowane na zasadach najmu, kierowane do gospodarstw domowych </w:t>
      </w:r>
      <w:r w:rsidR="0097270E" w:rsidRPr="00E93042">
        <w:rPr>
          <w:rFonts w:ascii="Times New Roman" w:hAnsi="Times New Roman"/>
        </w:rPr>
        <w:t xml:space="preserve">z tzw. luki czynszowej </w:t>
      </w:r>
      <w:r w:rsidRPr="00E93042">
        <w:rPr>
          <w:rFonts w:ascii="Times New Roman" w:hAnsi="Times New Roman"/>
        </w:rPr>
        <w:t xml:space="preserve">i w tym celu podlegające ustawowym ograniczeniom dotyczącym wysokości czynszów i szczególnych warunków nawiązywania stosunku najmu). Jego głównym celem jest </w:t>
      </w:r>
      <w:r w:rsidRPr="00E93042">
        <w:rPr>
          <w:rFonts w:ascii="Times New Roman" w:hAnsi="Times New Roman"/>
          <w:color w:val="000000"/>
        </w:rPr>
        <w:t xml:space="preserve">wprowadzenie rozwiązań służących zabezpieczeniu </w:t>
      </w:r>
      <w:r w:rsidR="0097270E" w:rsidRPr="00E93042">
        <w:rPr>
          <w:rFonts w:ascii="Times New Roman" w:hAnsi="Times New Roman"/>
          <w:color w:val="000000"/>
        </w:rPr>
        <w:t>adekwatnych</w:t>
      </w:r>
      <w:r w:rsidRPr="00E93042">
        <w:rPr>
          <w:rFonts w:ascii="Times New Roman" w:hAnsi="Times New Roman"/>
          <w:color w:val="000000"/>
        </w:rPr>
        <w:t xml:space="preserve"> środków </w:t>
      </w:r>
      <w:r w:rsidR="0097270E" w:rsidRPr="00E93042">
        <w:rPr>
          <w:rFonts w:ascii="Times New Roman" w:hAnsi="Times New Roman"/>
          <w:color w:val="000000"/>
        </w:rPr>
        <w:t xml:space="preserve">finansowych </w:t>
      </w:r>
      <w:r w:rsidRPr="00E93042">
        <w:rPr>
          <w:rFonts w:ascii="Times New Roman" w:hAnsi="Times New Roman"/>
          <w:color w:val="000000"/>
        </w:rPr>
        <w:t xml:space="preserve">umożliwiających kontynuację rządowych programu rozbudowy zasobu mieszkań czynszowych dla osób o niskich i średnich dochodach. </w:t>
      </w:r>
    </w:p>
    <w:p w14:paraId="0F51E324" w14:textId="77777777" w:rsidR="004B0846" w:rsidRPr="00E93042" w:rsidRDefault="004B0846" w:rsidP="008E205D">
      <w:pPr>
        <w:spacing w:after="120" w:line="360" w:lineRule="auto"/>
        <w:ind w:left="360"/>
        <w:jc w:val="both"/>
        <w:rPr>
          <w:rFonts w:ascii="Times New Roman" w:hAnsi="Times New Roman"/>
        </w:rPr>
      </w:pPr>
      <w:r w:rsidRPr="00E93042">
        <w:rPr>
          <w:rFonts w:ascii="Times New Roman" w:hAnsi="Times New Roman"/>
        </w:rPr>
        <w:t xml:space="preserve">Podstawy prawne wyznaczające szczegółowe formy i zakres wsparcia budownictwa komunalnego i społecznego budownictwa czynszowego tworzą aktualnie następujące rządowe programy:  </w:t>
      </w:r>
    </w:p>
    <w:p w14:paraId="53839938" w14:textId="55782AD4" w:rsidR="004B0846" w:rsidRPr="00E93042" w:rsidRDefault="004B0846" w:rsidP="008E205D">
      <w:pPr>
        <w:pStyle w:val="Akapitzlist"/>
        <w:numPr>
          <w:ilvl w:val="0"/>
          <w:numId w:val="3"/>
        </w:numPr>
        <w:spacing w:after="120" w:line="360" w:lineRule="auto"/>
        <w:contextualSpacing w:val="0"/>
        <w:jc w:val="both"/>
        <w:rPr>
          <w:rFonts w:ascii="Times New Roman" w:hAnsi="Times New Roman"/>
          <w:b/>
          <w:bCs/>
          <w:iCs/>
        </w:rPr>
      </w:pPr>
      <w:r w:rsidRPr="00E93042">
        <w:rPr>
          <w:rFonts w:ascii="Times New Roman" w:hAnsi="Times New Roman"/>
        </w:rPr>
        <w:t xml:space="preserve">program wsparcia </w:t>
      </w:r>
      <w:r w:rsidRPr="00E93042">
        <w:rPr>
          <w:rFonts w:ascii="Times New Roman" w:hAnsi="Times New Roman"/>
          <w:i/>
          <w:iCs/>
        </w:rPr>
        <w:t>budownictwa socjalnego i komunalnego,</w:t>
      </w:r>
      <w:r w:rsidRPr="00E93042">
        <w:rPr>
          <w:rFonts w:ascii="Times New Roman" w:hAnsi="Times New Roman"/>
        </w:rPr>
        <w:t xml:space="preserve"> tzw. program BSK, w ramach którego udzielane jest z bezzwrotne finansowe wsparcie z budżetu państwa (poprzez Fundusz Dopłat) na rozwój budownictwa zaspokajającego potrzeby mieszkaniowe osób o niższych dochodach (przede wszystkim budownictwa gminnego – w oparciu o przepisy </w:t>
      </w:r>
      <w:r w:rsidRPr="00E93042">
        <w:rPr>
          <w:rFonts w:ascii="Times New Roman" w:hAnsi="Times New Roman"/>
          <w:b/>
          <w:bCs/>
          <w:iCs/>
        </w:rPr>
        <w:t>ustawy z dnia 8 grudnia 2006 r. o finansowym wsparciu niektórych przedsięwzięć mieszkaniowych (Dz. U. z 2024 r. poz. 304)</w:t>
      </w:r>
      <w:r w:rsidR="0097270E" w:rsidRPr="00E93042">
        <w:rPr>
          <w:rFonts w:ascii="Times New Roman" w:hAnsi="Times New Roman"/>
          <w:i/>
        </w:rPr>
        <w:t>.</w:t>
      </w:r>
    </w:p>
    <w:p w14:paraId="771C005C" w14:textId="36EE8918" w:rsidR="004B0846" w:rsidRPr="00E93042" w:rsidRDefault="004B0846" w:rsidP="008E205D">
      <w:pPr>
        <w:pStyle w:val="Akapitzlist"/>
        <w:numPr>
          <w:ilvl w:val="0"/>
          <w:numId w:val="3"/>
        </w:numPr>
        <w:spacing w:after="120" w:line="360" w:lineRule="auto"/>
        <w:contextualSpacing w:val="0"/>
        <w:jc w:val="both"/>
        <w:rPr>
          <w:rFonts w:ascii="Times New Roman" w:hAnsi="Times New Roman"/>
        </w:rPr>
      </w:pPr>
      <w:r w:rsidRPr="00E93042">
        <w:rPr>
          <w:rFonts w:ascii="Times New Roman" w:hAnsi="Times New Roman"/>
        </w:rPr>
        <w:t xml:space="preserve">program preferencyjnych kredytów objętych dopłatami do odsetek z budżetu państwa, udzielanych przez Bank Gospodarstwa Krajowego (dalej: BGK) na </w:t>
      </w:r>
      <w:r w:rsidRPr="00E93042">
        <w:rPr>
          <w:rFonts w:ascii="Times New Roman" w:hAnsi="Times New Roman"/>
          <w:i/>
          <w:iCs/>
        </w:rPr>
        <w:t>społeczne budownictwo czynszowe</w:t>
      </w:r>
      <w:r w:rsidRPr="00E93042">
        <w:rPr>
          <w:rFonts w:ascii="Times New Roman" w:hAnsi="Times New Roman"/>
        </w:rPr>
        <w:t xml:space="preserve"> </w:t>
      </w:r>
      <w:r w:rsidRPr="00E93042">
        <w:rPr>
          <w:rFonts w:ascii="Times New Roman" w:hAnsi="Times New Roman"/>
          <w:color w:val="000000"/>
          <w:spacing w:val="-2"/>
        </w:rPr>
        <w:t>towarzystwom budownictwa społecznego, społecznym inicjatywom mieszkaniowym, spółdzielniom mieszkaniowym oraz spółkom gminnym</w:t>
      </w:r>
      <w:r w:rsidRPr="00E93042">
        <w:rPr>
          <w:rFonts w:ascii="Times New Roman" w:hAnsi="Times New Roman"/>
        </w:rPr>
        <w:t xml:space="preserve">, tzw. program SBC – w oparciu o przepisy </w:t>
      </w:r>
      <w:r w:rsidRPr="00E93042">
        <w:rPr>
          <w:rFonts w:ascii="Times New Roman" w:hAnsi="Times New Roman"/>
          <w:b/>
          <w:bCs/>
        </w:rPr>
        <w:t xml:space="preserve">ustawy z dnia 26 października 1995 r. o społecznych formach rozwoju mieszkalnictwa (Dz. U. z 2024 r. poz. 527, z </w:t>
      </w:r>
      <w:proofErr w:type="spellStart"/>
      <w:r w:rsidRPr="00E93042">
        <w:rPr>
          <w:rFonts w:ascii="Times New Roman" w:hAnsi="Times New Roman"/>
          <w:b/>
          <w:bCs/>
        </w:rPr>
        <w:t>późn</w:t>
      </w:r>
      <w:proofErr w:type="spellEnd"/>
      <w:r w:rsidRPr="00E93042">
        <w:rPr>
          <w:rFonts w:ascii="Times New Roman" w:hAnsi="Times New Roman"/>
          <w:b/>
          <w:bCs/>
        </w:rPr>
        <w:t>. zm.)</w:t>
      </w:r>
      <w:r w:rsidR="0097270E" w:rsidRPr="00E93042">
        <w:rPr>
          <w:rFonts w:ascii="Times New Roman" w:hAnsi="Times New Roman"/>
        </w:rPr>
        <w:t>.</w:t>
      </w:r>
    </w:p>
    <w:p w14:paraId="1E0278D7" w14:textId="77777777" w:rsidR="004B0846" w:rsidRPr="00E93042" w:rsidRDefault="004B0846" w:rsidP="008E205D">
      <w:pPr>
        <w:pStyle w:val="PKTpunkt"/>
        <w:ind w:left="720" w:firstLine="0"/>
        <w:rPr>
          <w:rFonts w:ascii="Times New Roman" w:hAnsi="Times New Roman" w:cs="Times New Roman"/>
          <w:sz w:val="22"/>
          <w:szCs w:val="22"/>
        </w:rPr>
      </w:pPr>
    </w:p>
    <w:p w14:paraId="4F8C8EF8" w14:textId="2DF40369" w:rsidR="004B0846" w:rsidRPr="00E93042" w:rsidRDefault="00274CF5" w:rsidP="008E205D">
      <w:pPr>
        <w:pStyle w:val="PKTpunkt"/>
        <w:numPr>
          <w:ilvl w:val="0"/>
          <w:numId w:val="2"/>
        </w:numPr>
        <w:rPr>
          <w:rFonts w:ascii="Times New Roman" w:hAnsi="Times New Roman" w:cs="Times New Roman"/>
          <w:b/>
          <w:bCs w:val="0"/>
          <w:sz w:val="22"/>
          <w:szCs w:val="22"/>
        </w:rPr>
      </w:pPr>
      <w:r w:rsidRPr="00E93042">
        <w:rPr>
          <w:rFonts w:ascii="Times New Roman" w:hAnsi="Times New Roman" w:cs="Times New Roman"/>
          <w:b/>
          <w:bCs w:val="0"/>
          <w:sz w:val="22"/>
          <w:szCs w:val="22"/>
        </w:rPr>
        <w:t>Rzeczywisty stan w dziedzinie, która ma być unormowana</w:t>
      </w:r>
    </w:p>
    <w:p w14:paraId="3290E445" w14:textId="77777777" w:rsidR="00845AF3" w:rsidRPr="00E93042" w:rsidRDefault="00845AF3" w:rsidP="008E205D">
      <w:pPr>
        <w:pStyle w:val="PKTpunkt"/>
        <w:ind w:left="720" w:firstLine="0"/>
        <w:rPr>
          <w:rFonts w:ascii="Times New Roman" w:hAnsi="Times New Roman" w:cs="Times New Roman"/>
          <w:b/>
          <w:bCs w:val="0"/>
          <w:sz w:val="22"/>
          <w:szCs w:val="22"/>
        </w:rPr>
      </w:pPr>
    </w:p>
    <w:p w14:paraId="5158B0B3" w14:textId="457D25B2" w:rsidR="004B0846" w:rsidRPr="00E93042" w:rsidRDefault="004B0846" w:rsidP="008E205D">
      <w:pPr>
        <w:pStyle w:val="PKTpunkt"/>
        <w:ind w:left="720" w:firstLine="0"/>
        <w:rPr>
          <w:rFonts w:ascii="Times New Roman" w:hAnsi="Times New Roman" w:cs="Times New Roman"/>
          <w:sz w:val="22"/>
          <w:szCs w:val="22"/>
        </w:rPr>
      </w:pPr>
      <w:r w:rsidRPr="00E93042">
        <w:rPr>
          <w:rFonts w:ascii="Times New Roman" w:hAnsi="Times New Roman" w:cs="Times New Roman"/>
          <w:b/>
          <w:bCs w:val="0"/>
          <w:sz w:val="22"/>
          <w:szCs w:val="22"/>
          <w:u w:val="single"/>
        </w:rPr>
        <w:t>Program BSK:</w:t>
      </w:r>
      <w:r w:rsidRPr="00E93042">
        <w:rPr>
          <w:rFonts w:ascii="Times New Roman" w:hAnsi="Times New Roman" w:cs="Times New Roman"/>
          <w:b/>
          <w:bCs w:val="0"/>
          <w:sz w:val="22"/>
          <w:szCs w:val="22"/>
        </w:rPr>
        <w:t xml:space="preserve"> </w:t>
      </w:r>
      <w:r w:rsidRPr="00E93042">
        <w:rPr>
          <w:rFonts w:ascii="Times New Roman" w:hAnsi="Times New Roman" w:cs="Times New Roman"/>
          <w:sz w:val="22"/>
          <w:szCs w:val="22"/>
        </w:rPr>
        <w:t xml:space="preserve">Mając na względzie potrzebę zwiększenia podaży mieszkań czynszowych, w szczególności dla osób o średnich i niższych dochodach, przy dużej skali zainteresowania programem BSK, </w:t>
      </w:r>
      <w:r w:rsidR="007D5981" w:rsidRPr="00E93042">
        <w:rPr>
          <w:rFonts w:ascii="Times New Roman" w:hAnsi="Times New Roman" w:cs="Times New Roman"/>
          <w:sz w:val="22"/>
          <w:szCs w:val="22"/>
        </w:rPr>
        <w:t>należy zapewnić</w:t>
      </w:r>
      <w:r w:rsidRPr="00E93042">
        <w:rPr>
          <w:rFonts w:ascii="Times New Roman" w:hAnsi="Times New Roman" w:cs="Times New Roman"/>
          <w:sz w:val="22"/>
          <w:szCs w:val="22"/>
        </w:rPr>
        <w:t xml:space="preserve"> środk</w:t>
      </w:r>
      <w:r w:rsidR="007D5981" w:rsidRPr="00E93042">
        <w:rPr>
          <w:rFonts w:ascii="Times New Roman" w:hAnsi="Times New Roman" w:cs="Times New Roman"/>
          <w:sz w:val="22"/>
          <w:szCs w:val="22"/>
        </w:rPr>
        <w:t>i</w:t>
      </w:r>
      <w:r w:rsidRPr="00E93042">
        <w:rPr>
          <w:rFonts w:ascii="Times New Roman" w:hAnsi="Times New Roman" w:cs="Times New Roman"/>
          <w:sz w:val="22"/>
          <w:szCs w:val="22"/>
        </w:rPr>
        <w:t xml:space="preserve"> na realizację programu. W </w:t>
      </w:r>
      <w:r w:rsidR="00230D69" w:rsidRPr="00E93042">
        <w:rPr>
          <w:rFonts w:ascii="Times New Roman" w:hAnsi="Times New Roman" w:cs="Times New Roman"/>
          <w:sz w:val="22"/>
          <w:szCs w:val="22"/>
        </w:rPr>
        <w:t xml:space="preserve">związku z powyższym proponuje się w </w:t>
      </w:r>
      <w:r w:rsidRPr="00E93042">
        <w:rPr>
          <w:rFonts w:ascii="Times New Roman" w:hAnsi="Times New Roman" w:cs="Times New Roman"/>
          <w:sz w:val="22"/>
          <w:szCs w:val="22"/>
        </w:rPr>
        <w:t xml:space="preserve">niniejszym projekcie ustawy podwyższenie w 2025 r. maksymalnego limitu </w:t>
      </w:r>
      <w:r w:rsidRPr="00E93042">
        <w:rPr>
          <w:rFonts w:ascii="Times New Roman" w:hAnsi="Times New Roman" w:cs="Times New Roman"/>
          <w:sz w:val="22"/>
          <w:szCs w:val="22"/>
        </w:rPr>
        <w:lastRenderedPageBreak/>
        <w:t xml:space="preserve">wydatków budżetu państwa, do wysokości których może zostać zasilony Fundusz Dopłat z przeznaczeniem na program BSK oraz zagwarantowanie środków budżetowych na ten cel </w:t>
      </w:r>
      <w:r w:rsidR="0097270E" w:rsidRPr="00E93042">
        <w:rPr>
          <w:rFonts w:ascii="Times New Roman" w:hAnsi="Times New Roman" w:cs="Times New Roman"/>
          <w:sz w:val="22"/>
          <w:szCs w:val="22"/>
        </w:rPr>
        <w:t xml:space="preserve">w latach 2026-2030. </w:t>
      </w:r>
      <w:r w:rsidRPr="00E93042">
        <w:rPr>
          <w:rFonts w:ascii="Times New Roman" w:hAnsi="Times New Roman" w:cs="Times New Roman"/>
          <w:sz w:val="22"/>
          <w:szCs w:val="22"/>
        </w:rPr>
        <w:t xml:space="preserve"> </w:t>
      </w:r>
    </w:p>
    <w:p w14:paraId="0452E698" w14:textId="77777777" w:rsidR="004B0846" w:rsidRPr="00E93042" w:rsidRDefault="004B0846" w:rsidP="008E205D">
      <w:pPr>
        <w:pStyle w:val="PKTpunkt"/>
        <w:ind w:left="720" w:firstLine="0"/>
        <w:rPr>
          <w:rFonts w:ascii="Times New Roman" w:hAnsi="Times New Roman" w:cs="Times New Roman"/>
          <w:sz w:val="22"/>
          <w:szCs w:val="22"/>
        </w:rPr>
      </w:pPr>
    </w:p>
    <w:p w14:paraId="17EBE3BD" w14:textId="4EB42895" w:rsidR="004B0846" w:rsidRPr="00E93042" w:rsidRDefault="004B0846" w:rsidP="008E205D">
      <w:pPr>
        <w:pStyle w:val="PKTpunkt"/>
        <w:ind w:left="720" w:firstLine="0"/>
        <w:rPr>
          <w:rFonts w:ascii="Times New Roman" w:hAnsi="Times New Roman" w:cs="Times New Roman"/>
          <w:sz w:val="22"/>
          <w:szCs w:val="22"/>
        </w:rPr>
      </w:pPr>
      <w:r w:rsidRPr="00E93042">
        <w:rPr>
          <w:rFonts w:ascii="Times New Roman" w:hAnsi="Times New Roman" w:cs="Times New Roman"/>
          <w:b/>
          <w:bCs w:val="0"/>
          <w:sz w:val="22"/>
          <w:szCs w:val="22"/>
          <w:u w:val="single"/>
        </w:rPr>
        <w:t>Program SBC:</w:t>
      </w:r>
      <w:r w:rsidRPr="00E93042">
        <w:rPr>
          <w:rFonts w:ascii="Times New Roman" w:hAnsi="Times New Roman" w:cs="Times New Roman"/>
          <w:b/>
          <w:bCs w:val="0"/>
          <w:sz w:val="22"/>
          <w:szCs w:val="22"/>
        </w:rPr>
        <w:t xml:space="preserve"> </w:t>
      </w:r>
      <w:r w:rsidRPr="00E93042">
        <w:rPr>
          <w:rFonts w:ascii="Times New Roman" w:hAnsi="Times New Roman" w:cs="Times New Roman"/>
          <w:sz w:val="22"/>
          <w:szCs w:val="22"/>
        </w:rPr>
        <w:t xml:space="preserve">Przepisy regulujące program, w tym umowa podpisana z BGK, przewidywały możliwość składania wniosków o kredyt wyłącznie do końca września 2024 r. – program </w:t>
      </w:r>
      <w:r w:rsidR="0097270E" w:rsidRPr="00E93042">
        <w:rPr>
          <w:rFonts w:ascii="Times New Roman" w:hAnsi="Times New Roman" w:cs="Times New Roman"/>
          <w:sz w:val="22"/>
          <w:szCs w:val="22"/>
        </w:rPr>
        <w:t xml:space="preserve">społecznego budownictwa czynszowego </w:t>
      </w:r>
      <w:r w:rsidRPr="00E93042">
        <w:rPr>
          <w:rFonts w:ascii="Times New Roman" w:hAnsi="Times New Roman" w:cs="Times New Roman"/>
          <w:sz w:val="22"/>
          <w:szCs w:val="22"/>
        </w:rPr>
        <w:t>został zainicjowany w 2015 r. i miał 10-letnią perspektywę realizacji. Mając na uwadze powyższy stan rzeczy</w:t>
      </w:r>
      <w:r w:rsidR="0097270E" w:rsidRPr="00E93042">
        <w:rPr>
          <w:rFonts w:ascii="Times New Roman" w:hAnsi="Times New Roman" w:cs="Times New Roman"/>
          <w:sz w:val="22"/>
          <w:szCs w:val="22"/>
        </w:rPr>
        <w:t>,</w:t>
      </w:r>
      <w:r w:rsidRPr="00E93042">
        <w:rPr>
          <w:rFonts w:ascii="Times New Roman" w:hAnsi="Times New Roman" w:cs="Times New Roman"/>
          <w:sz w:val="22"/>
          <w:szCs w:val="22"/>
        </w:rPr>
        <w:t xml:space="preserve"> proponuje się wydłużenie o dwa lata aktualnie obowiązującego programu SBC, który według obowiązujących regulacji kończy się w 2024 r. z jednoczesnym zwiększeniem budżetu </w:t>
      </w:r>
      <w:r w:rsidR="0097270E" w:rsidRPr="00E93042">
        <w:rPr>
          <w:rFonts w:ascii="Times New Roman" w:hAnsi="Times New Roman" w:cs="Times New Roman"/>
          <w:sz w:val="22"/>
          <w:szCs w:val="22"/>
        </w:rPr>
        <w:t>akcji kredytowej</w:t>
      </w:r>
      <w:r w:rsidRPr="00E93042">
        <w:rPr>
          <w:rFonts w:ascii="Times New Roman" w:hAnsi="Times New Roman" w:cs="Times New Roman"/>
          <w:sz w:val="22"/>
          <w:szCs w:val="22"/>
        </w:rPr>
        <w:t xml:space="preserve"> </w:t>
      </w:r>
      <w:r w:rsidR="0097270E" w:rsidRPr="00E93042">
        <w:rPr>
          <w:rFonts w:ascii="Times New Roman" w:hAnsi="Times New Roman" w:cs="Times New Roman"/>
          <w:sz w:val="22"/>
          <w:szCs w:val="22"/>
        </w:rPr>
        <w:t xml:space="preserve">w ramach </w:t>
      </w:r>
      <w:r w:rsidRPr="00E93042">
        <w:rPr>
          <w:rFonts w:ascii="Times New Roman" w:hAnsi="Times New Roman" w:cs="Times New Roman"/>
          <w:sz w:val="22"/>
          <w:szCs w:val="22"/>
        </w:rPr>
        <w:t xml:space="preserve">SBC z 4,5 mld zł na </w:t>
      </w:r>
      <w:r w:rsidR="00763FE0" w:rsidRPr="00E93042">
        <w:rPr>
          <w:rFonts w:ascii="Times New Roman" w:hAnsi="Times New Roman" w:cs="Times New Roman"/>
          <w:sz w:val="22"/>
          <w:szCs w:val="22"/>
        </w:rPr>
        <w:t>6,9</w:t>
      </w:r>
      <w:r w:rsidRPr="00E93042">
        <w:rPr>
          <w:rFonts w:ascii="Times New Roman" w:hAnsi="Times New Roman" w:cs="Times New Roman"/>
          <w:sz w:val="22"/>
          <w:szCs w:val="22"/>
        </w:rPr>
        <w:t xml:space="preserve"> mld zł (środki </w:t>
      </w:r>
      <w:r w:rsidR="0097270E" w:rsidRPr="00E93042">
        <w:rPr>
          <w:rFonts w:ascii="Times New Roman" w:hAnsi="Times New Roman" w:cs="Times New Roman"/>
          <w:sz w:val="22"/>
          <w:szCs w:val="22"/>
        </w:rPr>
        <w:t xml:space="preserve">własne </w:t>
      </w:r>
      <w:r w:rsidRPr="00E93042">
        <w:rPr>
          <w:rFonts w:ascii="Times New Roman" w:hAnsi="Times New Roman" w:cs="Times New Roman"/>
          <w:sz w:val="22"/>
          <w:szCs w:val="22"/>
        </w:rPr>
        <w:t>BGK</w:t>
      </w:r>
      <w:r w:rsidR="0097270E" w:rsidRPr="00E93042">
        <w:rPr>
          <w:rFonts w:ascii="Times New Roman" w:hAnsi="Times New Roman" w:cs="Times New Roman"/>
          <w:sz w:val="22"/>
          <w:szCs w:val="22"/>
        </w:rPr>
        <w:t xml:space="preserve">, budżet państwa dopłaca do </w:t>
      </w:r>
      <w:r w:rsidR="007D5981" w:rsidRPr="00E93042">
        <w:rPr>
          <w:rFonts w:ascii="Times New Roman" w:hAnsi="Times New Roman" w:cs="Times New Roman"/>
          <w:sz w:val="22"/>
          <w:szCs w:val="22"/>
        </w:rPr>
        <w:t>odsetek</w:t>
      </w:r>
      <w:r w:rsidRPr="00E93042">
        <w:rPr>
          <w:rFonts w:ascii="Times New Roman" w:hAnsi="Times New Roman" w:cs="Times New Roman"/>
          <w:sz w:val="22"/>
          <w:szCs w:val="22"/>
        </w:rPr>
        <w:t xml:space="preserve">). Proponowanemu zwiększeniu budżetu programu SBC ze strony BGK musi towarzyszyć wzrost wydatków budżetowych na dopłatę do preferencyjnego oprocentowania, o której mowa w art. 15 ust. 2 pkt ustawy z dnia 26 października 1995 r. o społecznych formach oraz w art. 45 ust. 1 pkt 2 i 3 ustawy z dnia 26 maja 2023 r. o pomocy państwa w oszczędzaniu na cele mieszkaniowe (Dz. U. poz. 1114, z </w:t>
      </w:r>
      <w:proofErr w:type="spellStart"/>
      <w:r w:rsidRPr="00E93042">
        <w:rPr>
          <w:rFonts w:ascii="Times New Roman" w:hAnsi="Times New Roman" w:cs="Times New Roman"/>
          <w:sz w:val="22"/>
          <w:szCs w:val="22"/>
        </w:rPr>
        <w:t>późn</w:t>
      </w:r>
      <w:proofErr w:type="spellEnd"/>
      <w:r w:rsidRPr="00E93042">
        <w:rPr>
          <w:rFonts w:ascii="Times New Roman" w:hAnsi="Times New Roman" w:cs="Times New Roman"/>
          <w:sz w:val="22"/>
          <w:szCs w:val="22"/>
        </w:rPr>
        <w:t>. zm.)</w:t>
      </w:r>
      <w:r w:rsidR="0097270E" w:rsidRPr="00E93042">
        <w:rPr>
          <w:rFonts w:ascii="Times New Roman" w:hAnsi="Times New Roman" w:cs="Times New Roman"/>
          <w:sz w:val="22"/>
          <w:szCs w:val="22"/>
        </w:rPr>
        <w:t>.</w:t>
      </w:r>
    </w:p>
    <w:p w14:paraId="0A96AA19" w14:textId="77777777" w:rsidR="004B0846" w:rsidRPr="00E93042" w:rsidRDefault="004B0846" w:rsidP="008E205D">
      <w:pPr>
        <w:pStyle w:val="PKTpunkt"/>
        <w:ind w:left="0" w:firstLine="0"/>
        <w:rPr>
          <w:rFonts w:ascii="Times New Roman" w:hAnsi="Times New Roman" w:cs="Times New Roman"/>
          <w:sz w:val="22"/>
          <w:szCs w:val="22"/>
        </w:rPr>
      </w:pPr>
    </w:p>
    <w:p w14:paraId="3525CE64" w14:textId="7DED3DF4" w:rsidR="00274CF5" w:rsidRPr="00E93042" w:rsidRDefault="00274CF5" w:rsidP="008E205D">
      <w:pPr>
        <w:pStyle w:val="PKTpunkt"/>
        <w:numPr>
          <w:ilvl w:val="0"/>
          <w:numId w:val="2"/>
        </w:numPr>
        <w:rPr>
          <w:rFonts w:ascii="Times New Roman" w:hAnsi="Times New Roman" w:cs="Times New Roman"/>
          <w:b/>
          <w:bCs w:val="0"/>
          <w:sz w:val="22"/>
          <w:szCs w:val="22"/>
        </w:rPr>
      </w:pPr>
      <w:r w:rsidRPr="00E93042">
        <w:rPr>
          <w:rFonts w:ascii="Times New Roman" w:hAnsi="Times New Roman" w:cs="Times New Roman"/>
          <w:b/>
          <w:bCs w:val="0"/>
          <w:sz w:val="22"/>
          <w:szCs w:val="22"/>
        </w:rPr>
        <w:t>Różnica pomiędzy dotychczasowym stanem prawnym</w:t>
      </w:r>
    </w:p>
    <w:p w14:paraId="40FDB8D5" w14:textId="77777777" w:rsidR="004B0846" w:rsidRPr="00E93042" w:rsidRDefault="004B0846" w:rsidP="008E205D">
      <w:pPr>
        <w:pStyle w:val="Akapitzlist"/>
        <w:spacing w:after="120" w:line="360" w:lineRule="auto"/>
        <w:contextualSpacing w:val="0"/>
        <w:jc w:val="both"/>
        <w:rPr>
          <w:rFonts w:ascii="Times New Roman" w:hAnsi="Times New Roman"/>
          <w:b/>
          <w:bCs/>
        </w:rPr>
      </w:pPr>
    </w:p>
    <w:p w14:paraId="3D5F9924" w14:textId="3AA17FE1" w:rsidR="004B0846" w:rsidRPr="00E93042" w:rsidRDefault="004B0846" w:rsidP="008E205D">
      <w:pPr>
        <w:pStyle w:val="Akapitzlist"/>
        <w:shd w:val="clear" w:color="auto" w:fill="FFFFFF" w:themeFill="background1"/>
        <w:spacing w:after="120" w:line="360" w:lineRule="auto"/>
        <w:contextualSpacing w:val="0"/>
        <w:jc w:val="both"/>
        <w:rPr>
          <w:rFonts w:ascii="Times New Roman" w:hAnsi="Times New Roman"/>
        </w:rPr>
      </w:pPr>
      <w:r w:rsidRPr="00E93042">
        <w:rPr>
          <w:rFonts w:ascii="Times New Roman" w:hAnsi="Times New Roman"/>
          <w:b/>
          <w:bCs/>
        </w:rPr>
        <w:t xml:space="preserve">Art.. 1 projektu ustawy </w:t>
      </w:r>
      <w:r w:rsidRPr="00E93042">
        <w:rPr>
          <w:rFonts w:ascii="Times New Roman" w:hAnsi="Times New Roman"/>
        </w:rPr>
        <w:t xml:space="preserve">zwiększa limit wydatków państwa na program BSK </w:t>
      </w:r>
      <w:r w:rsidR="00230D69" w:rsidRPr="00E93042">
        <w:rPr>
          <w:rFonts w:ascii="Times New Roman" w:hAnsi="Times New Roman"/>
        </w:rPr>
        <w:t xml:space="preserve">w </w:t>
      </w:r>
      <w:r w:rsidRPr="00E93042">
        <w:rPr>
          <w:rFonts w:ascii="Times New Roman" w:hAnsi="Times New Roman"/>
        </w:rPr>
        <w:t>2025</w:t>
      </w:r>
      <w:r w:rsidR="00230D69" w:rsidRPr="00E93042">
        <w:rPr>
          <w:rFonts w:ascii="Times New Roman" w:hAnsi="Times New Roman"/>
        </w:rPr>
        <w:t xml:space="preserve"> roku</w:t>
      </w:r>
      <w:r w:rsidRPr="00E93042">
        <w:rPr>
          <w:rFonts w:ascii="Times New Roman" w:hAnsi="Times New Roman"/>
        </w:rPr>
        <w:t xml:space="preserve"> z poziomu 1 mld do 4943,3 mln zł.</w:t>
      </w:r>
    </w:p>
    <w:p w14:paraId="326C9911" w14:textId="77777777" w:rsidR="004B0846" w:rsidRPr="00E93042" w:rsidRDefault="004B0846" w:rsidP="008E205D">
      <w:pPr>
        <w:pStyle w:val="Akapitzlist"/>
        <w:shd w:val="clear" w:color="auto" w:fill="FFFFFF" w:themeFill="background1"/>
        <w:spacing w:after="120" w:line="360" w:lineRule="auto"/>
        <w:contextualSpacing w:val="0"/>
        <w:jc w:val="both"/>
        <w:rPr>
          <w:rFonts w:ascii="Times New Roman" w:hAnsi="Times New Roman"/>
          <w:b/>
          <w:bCs/>
        </w:rPr>
      </w:pPr>
    </w:p>
    <w:p w14:paraId="0EBCB6DC" w14:textId="30679EE2" w:rsidR="004B0846" w:rsidRPr="00E93042" w:rsidRDefault="004B0846" w:rsidP="008E205D">
      <w:pPr>
        <w:pStyle w:val="Akapitzlist"/>
        <w:shd w:val="clear" w:color="auto" w:fill="FFFFFF" w:themeFill="background1"/>
        <w:spacing w:after="120" w:line="360" w:lineRule="auto"/>
        <w:contextualSpacing w:val="0"/>
        <w:jc w:val="both"/>
        <w:rPr>
          <w:rFonts w:ascii="Times New Roman" w:hAnsi="Times New Roman"/>
          <w:b/>
          <w:bCs/>
        </w:rPr>
      </w:pPr>
      <w:r w:rsidRPr="00E93042">
        <w:rPr>
          <w:rFonts w:ascii="Times New Roman" w:hAnsi="Times New Roman"/>
          <w:b/>
          <w:bCs/>
        </w:rPr>
        <w:t xml:space="preserve">Art. 2 projektu ustawy </w:t>
      </w:r>
      <w:r w:rsidRPr="00E93042">
        <w:rPr>
          <w:rFonts w:ascii="Times New Roman" w:hAnsi="Times New Roman"/>
        </w:rPr>
        <w:t>określa</w:t>
      </w:r>
      <w:r w:rsidR="00EF1D78" w:rsidRPr="00E93042">
        <w:rPr>
          <w:rFonts w:ascii="Times New Roman" w:hAnsi="Times New Roman"/>
        </w:rPr>
        <w:t xml:space="preserve"> nowe</w:t>
      </w:r>
      <w:r w:rsidRPr="00E93042">
        <w:rPr>
          <w:rFonts w:ascii="Times New Roman" w:hAnsi="Times New Roman"/>
        </w:rPr>
        <w:t xml:space="preserve"> limity wydatków budżetu państwa na program BSK w latach 2026–2030</w:t>
      </w:r>
      <w:r w:rsidRPr="00E93042">
        <w:rPr>
          <w:rFonts w:ascii="Times New Roman" w:hAnsi="Times New Roman"/>
          <w:b/>
          <w:bCs/>
        </w:rPr>
        <w:t>.</w:t>
      </w:r>
    </w:p>
    <w:p w14:paraId="6F7BCCC9" w14:textId="77777777" w:rsidR="004B0846" w:rsidRPr="00E93042" w:rsidRDefault="004B0846" w:rsidP="008E205D">
      <w:pPr>
        <w:pStyle w:val="Akapitzlist"/>
        <w:spacing w:after="120" w:line="360" w:lineRule="auto"/>
        <w:contextualSpacing w:val="0"/>
        <w:jc w:val="both"/>
        <w:rPr>
          <w:rFonts w:ascii="Times New Roman" w:hAnsi="Times New Roman"/>
          <w:b/>
          <w:bCs/>
        </w:rPr>
      </w:pPr>
    </w:p>
    <w:p w14:paraId="0AB01AEA" w14:textId="46FF2F4F" w:rsidR="00680B5E" w:rsidRPr="00E93042" w:rsidRDefault="004B0846" w:rsidP="008E205D">
      <w:pPr>
        <w:pStyle w:val="Akapitzlist"/>
        <w:spacing w:after="120" w:line="360" w:lineRule="auto"/>
        <w:ind w:left="709"/>
        <w:contextualSpacing w:val="0"/>
        <w:jc w:val="both"/>
        <w:rPr>
          <w:rFonts w:ascii="Times New Roman" w:hAnsi="Times New Roman"/>
          <w:b/>
          <w:bCs/>
        </w:rPr>
      </w:pPr>
      <w:r w:rsidRPr="00E93042">
        <w:rPr>
          <w:rFonts w:ascii="Times New Roman" w:hAnsi="Times New Roman"/>
          <w:b/>
          <w:bCs/>
        </w:rPr>
        <w:t>Art. 3 projektu ustawy</w:t>
      </w:r>
      <w:r w:rsidR="00680B5E" w:rsidRPr="00E93042">
        <w:rPr>
          <w:rFonts w:ascii="Times New Roman" w:hAnsi="Times New Roman"/>
          <w:b/>
          <w:bCs/>
        </w:rPr>
        <w:t xml:space="preserve"> </w:t>
      </w:r>
      <w:r w:rsidR="00680B5E" w:rsidRPr="00E93042">
        <w:rPr>
          <w:rFonts w:ascii="Times New Roman" w:hAnsi="Times New Roman"/>
          <w:color w:val="000000"/>
        </w:rPr>
        <w:t xml:space="preserve">zawiera propozycję zmiany art. 9 ust. 1 pkt 9 i 10 ustawy z dnia 10 września 2015 r. o zmianie ustawy o niektórych formach popierania budownictwa mieszkaniowego oraz niektórych innych ustaw tak aby maksymalny limit środków budżetu państwa, do wysokości których może zostać zasilony Fundusz Dopłat, przeznaczonych na dopłaty dla BGK do oprocentowania kredytu w ramach realizacji </w:t>
      </w:r>
      <w:r w:rsidR="00541E32" w:rsidRPr="00E93042">
        <w:rPr>
          <w:rFonts w:ascii="Times New Roman" w:hAnsi="Times New Roman"/>
          <w:color w:val="000000"/>
        </w:rPr>
        <w:t>programu SBC</w:t>
      </w:r>
      <w:r w:rsidR="00680B5E" w:rsidRPr="00E93042">
        <w:rPr>
          <w:rFonts w:ascii="Times New Roman" w:hAnsi="Times New Roman"/>
          <w:color w:val="000000"/>
        </w:rPr>
        <w:t xml:space="preserve"> </w:t>
      </w:r>
      <w:r w:rsidR="00EF1D78" w:rsidRPr="00E93042">
        <w:rPr>
          <w:rFonts w:ascii="Times New Roman" w:hAnsi="Times New Roman"/>
          <w:color w:val="000000"/>
        </w:rPr>
        <w:t>wzrósł</w:t>
      </w:r>
      <w:r w:rsidR="00680B5E" w:rsidRPr="00E93042">
        <w:rPr>
          <w:rFonts w:ascii="Times New Roman" w:hAnsi="Times New Roman"/>
          <w:color w:val="000000"/>
        </w:rPr>
        <w:t xml:space="preserve"> w 2025 r.</w:t>
      </w:r>
      <w:r w:rsidR="00EF1D78" w:rsidRPr="00E93042">
        <w:rPr>
          <w:rFonts w:ascii="Times New Roman" w:hAnsi="Times New Roman"/>
          <w:color w:val="000000"/>
        </w:rPr>
        <w:t xml:space="preserve"> do poziomu</w:t>
      </w:r>
      <w:r w:rsidR="00680B5E" w:rsidRPr="00E93042">
        <w:rPr>
          <w:rFonts w:ascii="Times New Roman" w:hAnsi="Times New Roman"/>
          <w:color w:val="000000"/>
        </w:rPr>
        <w:t xml:space="preserve"> 129,9 mln zł.</w:t>
      </w:r>
    </w:p>
    <w:p w14:paraId="30AF9A2B" w14:textId="77777777" w:rsidR="004B0846" w:rsidRPr="00E93042" w:rsidRDefault="004B0846" w:rsidP="008E205D">
      <w:pPr>
        <w:spacing w:after="120" w:line="360" w:lineRule="auto"/>
        <w:jc w:val="both"/>
        <w:rPr>
          <w:rFonts w:ascii="Times New Roman" w:hAnsi="Times New Roman"/>
          <w:b/>
          <w:bCs/>
        </w:rPr>
      </w:pPr>
    </w:p>
    <w:p w14:paraId="57AA0D46" w14:textId="16C06FB2" w:rsidR="008E205D" w:rsidRPr="00E93042" w:rsidRDefault="008E205D" w:rsidP="008E205D">
      <w:pPr>
        <w:pStyle w:val="Akapitzlist"/>
        <w:spacing w:after="120" w:line="360" w:lineRule="auto"/>
        <w:contextualSpacing w:val="0"/>
        <w:jc w:val="both"/>
        <w:rPr>
          <w:rFonts w:ascii="Times New Roman" w:hAnsi="Times New Roman"/>
        </w:rPr>
      </w:pPr>
      <w:r w:rsidRPr="00E93042">
        <w:rPr>
          <w:rFonts w:ascii="Times New Roman" w:hAnsi="Times New Roman"/>
          <w:b/>
          <w:bCs/>
        </w:rPr>
        <w:t xml:space="preserve">Art. projektu 4 ustawy </w:t>
      </w:r>
      <w:r w:rsidRPr="00E93042">
        <w:rPr>
          <w:rFonts w:ascii="Times New Roman" w:hAnsi="Times New Roman"/>
        </w:rPr>
        <w:t>dotyczy przedłużeni</w:t>
      </w:r>
      <w:r w:rsidR="00EF1D78" w:rsidRPr="00E93042">
        <w:rPr>
          <w:rFonts w:ascii="Times New Roman" w:hAnsi="Times New Roman"/>
        </w:rPr>
        <w:t>a</w:t>
      </w:r>
      <w:r w:rsidRPr="00E93042">
        <w:rPr>
          <w:rFonts w:ascii="Times New Roman" w:hAnsi="Times New Roman"/>
        </w:rPr>
        <w:t xml:space="preserve"> programu SBC do roku 2026 r., połączone</w:t>
      </w:r>
      <w:r w:rsidR="00EF1D78" w:rsidRPr="00E93042">
        <w:rPr>
          <w:rFonts w:ascii="Times New Roman" w:hAnsi="Times New Roman"/>
        </w:rPr>
        <w:t>go</w:t>
      </w:r>
      <w:r w:rsidRPr="00E93042">
        <w:rPr>
          <w:rFonts w:ascii="Times New Roman" w:hAnsi="Times New Roman"/>
        </w:rPr>
        <w:t xml:space="preserve"> z podniesieniem środków BGK udostępnianych na akcję kredytową z aktualnie obowiązującej kwoty 4,5 mld zł </w:t>
      </w:r>
      <w:r w:rsidR="00541E32" w:rsidRPr="00E93042">
        <w:rPr>
          <w:rFonts w:ascii="Times New Roman" w:hAnsi="Times New Roman"/>
        </w:rPr>
        <w:t>(</w:t>
      </w:r>
      <w:r w:rsidRPr="00E93042">
        <w:rPr>
          <w:rFonts w:ascii="Times New Roman" w:hAnsi="Times New Roman"/>
        </w:rPr>
        <w:t>na program realizowany od 2016 r.</w:t>
      </w:r>
      <w:r w:rsidR="00541E32" w:rsidRPr="00E93042">
        <w:rPr>
          <w:rFonts w:ascii="Times New Roman" w:hAnsi="Times New Roman"/>
        </w:rPr>
        <w:t>)</w:t>
      </w:r>
      <w:r w:rsidRPr="00E93042">
        <w:rPr>
          <w:rFonts w:ascii="Times New Roman" w:hAnsi="Times New Roman"/>
        </w:rPr>
        <w:t xml:space="preserve"> do </w:t>
      </w:r>
      <w:r w:rsidR="00541E32" w:rsidRPr="00E93042">
        <w:rPr>
          <w:rFonts w:ascii="Times New Roman" w:hAnsi="Times New Roman"/>
        </w:rPr>
        <w:t xml:space="preserve">poziomu </w:t>
      </w:r>
      <w:r w:rsidRPr="00E93042">
        <w:rPr>
          <w:rFonts w:ascii="Times New Roman" w:hAnsi="Times New Roman"/>
        </w:rPr>
        <w:t xml:space="preserve">6,9 mld zł. Jest to kwota </w:t>
      </w:r>
      <w:r w:rsidRPr="00E93042">
        <w:rPr>
          <w:rFonts w:ascii="Times New Roman" w:hAnsi="Times New Roman"/>
        </w:rPr>
        <w:lastRenderedPageBreak/>
        <w:t xml:space="preserve">odpowiadająca zgłaszanemu przez inwestorów z programu SBC zapotrzebowaniu na środki zwrotne </w:t>
      </w:r>
      <w:r w:rsidR="00EF1D78" w:rsidRPr="00E93042">
        <w:rPr>
          <w:rFonts w:ascii="Times New Roman" w:hAnsi="Times New Roman"/>
        </w:rPr>
        <w:t xml:space="preserve">– </w:t>
      </w:r>
      <w:r w:rsidRPr="00E93042">
        <w:rPr>
          <w:rFonts w:ascii="Times New Roman" w:hAnsi="Times New Roman"/>
        </w:rPr>
        <w:t xml:space="preserve">pozwoli </w:t>
      </w:r>
      <w:r w:rsidR="00EF1D78" w:rsidRPr="00E93042">
        <w:rPr>
          <w:rFonts w:ascii="Times New Roman" w:hAnsi="Times New Roman"/>
        </w:rPr>
        <w:t xml:space="preserve">ona </w:t>
      </w:r>
      <w:r w:rsidRPr="00E93042">
        <w:rPr>
          <w:rFonts w:ascii="Times New Roman" w:hAnsi="Times New Roman"/>
        </w:rPr>
        <w:t xml:space="preserve">na równomierny rozwój </w:t>
      </w:r>
      <w:r w:rsidR="00EF1D78" w:rsidRPr="00E93042">
        <w:rPr>
          <w:rFonts w:ascii="Times New Roman" w:hAnsi="Times New Roman"/>
        </w:rPr>
        <w:t xml:space="preserve">społecznego </w:t>
      </w:r>
      <w:r w:rsidRPr="00E93042">
        <w:rPr>
          <w:rFonts w:ascii="Times New Roman" w:hAnsi="Times New Roman"/>
        </w:rPr>
        <w:t>mieszkalnictwa na wynajem. Proponowane zmiany (zwiększenie akcji kredytowej BGK) skutkują koniecznością zwiększenia limitów środków budżetowych na dopłatę do preferencyjnego oprocentowania dla BGK: w roku 2025 (</w:t>
      </w:r>
      <w:r w:rsidR="00EF1D78" w:rsidRPr="00E93042">
        <w:rPr>
          <w:rFonts w:ascii="Times New Roman" w:hAnsi="Times New Roman"/>
        </w:rPr>
        <w:t>art. 3 projektu ustawy</w:t>
      </w:r>
      <w:r w:rsidRPr="00E93042">
        <w:rPr>
          <w:rFonts w:ascii="Times New Roman" w:hAnsi="Times New Roman"/>
        </w:rPr>
        <w:t xml:space="preserve">), w roku 2026 (art. </w:t>
      </w:r>
      <w:r w:rsidR="00EF1D78" w:rsidRPr="00E93042">
        <w:rPr>
          <w:rFonts w:ascii="Times New Roman" w:hAnsi="Times New Roman"/>
        </w:rPr>
        <w:t>4</w:t>
      </w:r>
      <w:r w:rsidRPr="00E93042">
        <w:rPr>
          <w:rFonts w:ascii="Times New Roman" w:hAnsi="Times New Roman"/>
        </w:rPr>
        <w:t xml:space="preserve"> projektu ustawy) oraz w latach 2025-2028 (art. </w:t>
      </w:r>
      <w:r w:rsidR="00EF1D78" w:rsidRPr="00E93042">
        <w:rPr>
          <w:rFonts w:ascii="Times New Roman" w:hAnsi="Times New Roman"/>
        </w:rPr>
        <w:t>5</w:t>
      </w:r>
      <w:r w:rsidRPr="00E93042">
        <w:rPr>
          <w:rFonts w:ascii="Times New Roman" w:hAnsi="Times New Roman"/>
        </w:rPr>
        <w:t xml:space="preserve"> projektu ustawy).</w:t>
      </w:r>
    </w:p>
    <w:p w14:paraId="6ECB3CBC" w14:textId="77777777" w:rsidR="00C505A2" w:rsidRPr="00E93042" w:rsidRDefault="00C505A2" w:rsidP="008E205D">
      <w:pPr>
        <w:spacing w:after="120" w:line="360" w:lineRule="auto"/>
        <w:jc w:val="both"/>
        <w:rPr>
          <w:rFonts w:ascii="Times New Roman" w:hAnsi="Times New Roman"/>
          <w:b/>
          <w:bCs/>
        </w:rPr>
      </w:pPr>
    </w:p>
    <w:p w14:paraId="5DC98E4E" w14:textId="6658A4F5" w:rsidR="00C505A2" w:rsidRPr="00E93042" w:rsidRDefault="00C505A2" w:rsidP="008E205D">
      <w:pPr>
        <w:pStyle w:val="Akapitzlist"/>
        <w:spacing w:after="120" w:line="360" w:lineRule="auto"/>
        <w:jc w:val="both"/>
        <w:rPr>
          <w:rFonts w:ascii="Times New Roman" w:hAnsi="Times New Roman"/>
          <w:b/>
          <w:bCs/>
        </w:rPr>
      </w:pPr>
      <w:r w:rsidRPr="00E93042">
        <w:rPr>
          <w:rFonts w:ascii="Times New Roman" w:hAnsi="Times New Roman"/>
          <w:b/>
          <w:bCs/>
        </w:rPr>
        <w:t xml:space="preserve">Art. 5 projektu ustawy </w:t>
      </w:r>
      <w:r w:rsidRPr="00E93042">
        <w:rPr>
          <w:rFonts w:ascii="Times New Roman" w:hAnsi="Times New Roman"/>
        </w:rPr>
        <w:t xml:space="preserve">zmienia art. 45 ust. 1 ustawy z dnia 26 maja 2023 r. o pomocy państwa w oszczędzaniu na cele mieszkaniowe (art. 14 projektu ustawy), tak aby maksymalny limit środków budżetu państwa, do wysokości których może zostać zasilony Fundusz Dopłat, przeznaczonych na dopłaty dla BGK do </w:t>
      </w:r>
      <w:r w:rsidR="00EF1D78" w:rsidRPr="00E93042">
        <w:rPr>
          <w:rFonts w:ascii="Times New Roman" w:hAnsi="Times New Roman"/>
        </w:rPr>
        <w:t xml:space="preserve">stabilizacji </w:t>
      </w:r>
      <w:r w:rsidRPr="00E93042">
        <w:rPr>
          <w:rFonts w:ascii="Times New Roman" w:hAnsi="Times New Roman"/>
        </w:rPr>
        <w:t xml:space="preserve">oprocentowania kredytu </w:t>
      </w:r>
      <w:r w:rsidR="00EF1D78" w:rsidRPr="00E93042">
        <w:rPr>
          <w:rFonts w:ascii="Times New Roman" w:hAnsi="Times New Roman"/>
        </w:rPr>
        <w:t>SBC</w:t>
      </w:r>
      <w:r w:rsidRPr="00E93042">
        <w:rPr>
          <w:rFonts w:ascii="Times New Roman" w:hAnsi="Times New Roman"/>
        </w:rPr>
        <w:t xml:space="preserve">, </w:t>
      </w:r>
      <w:r w:rsidR="00EF1D78" w:rsidRPr="00E93042">
        <w:rPr>
          <w:rFonts w:ascii="Times New Roman" w:hAnsi="Times New Roman"/>
          <w:color w:val="000000"/>
        </w:rPr>
        <w:t xml:space="preserve">wyniósł </w:t>
      </w:r>
      <w:r w:rsidRPr="00E93042">
        <w:rPr>
          <w:rFonts w:ascii="Times New Roman" w:hAnsi="Times New Roman"/>
          <w:color w:val="000000"/>
        </w:rPr>
        <w:t xml:space="preserve">w latach 2026, 2027 i 2028 odpowiednio </w:t>
      </w:r>
      <w:r w:rsidRPr="00E93042">
        <w:rPr>
          <w:rFonts w:ascii="Times New Roman" w:hAnsi="Times New Roman"/>
        </w:rPr>
        <w:t>83,4 mln zł, 167,4 mln zł</w:t>
      </w:r>
      <w:r w:rsidRPr="00E93042">
        <w:rPr>
          <w:rFonts w:ascii="Times New Roman" w:hAnsi="Times New Roman"/>
          <w:color w:val="000000"/>
        </w:rPr>
        <w:t xml:space="preserve"> i </w:t>
      </w:r>
      <w:r w:rsidRPr="00E93042">
        <w:rPr>
          <w:rFonts w:ascii="Times New Roman" w:hAnsi="Times New Roman"/>
        </w:rPr>
        <w:t>69 mln zł</w:t>
      </w:r>
      <w:r w:rsidRPr="00E93042">
        <w:rPr>
          <w:rFonts w:ascii="Times New Roman" w:hAnsi="Times New Roman"/>
          <w:color w:val="000000"/>
        </w:rPr>
        <w:t>.</w:t>
      </w:r>
    </w:p>
    <w:p w14:paraId="78F26DAD" w14:textId="7085B657" w:rsidR="008E205D" w:rsidRPr="00E93042" w:rsidRDefault="008E205D" w:rsidP="00763FE0">
      <w:pPr>
        <w:spacing w:after="120" w:line="360" w:lineRule="auto"/>
        <w:jc w:val="both"/>
        <w:rPr>
          <w:rFonts w:ascii="Times New Roman" w:hAnsi="Times New Roman"/>
        </w:rPr>
      </w:pPr>
    </w:p>
    <w:p w14:paraId="5E5E167D" w14:textId="4FE12E1B" w:rsidR="00274CF5" w:rsidRPr="00E93042" w:rsidRDefault="00274CF5" w:rsidP="008E205D">
      <w:pPr>
        <w:pStyle w:val="PKTpunkt"/>
        <w:numPr>
          <w:ilvl w:val="0"/>
          <w:numId w:val="2"/>
        </w:numPr>
        <w:rPr>
          <w:rFonts w:ascii="Times New Roman" w:hAnsi="Times New Roman" w:cs="Times New Roman"/>
          <w:b/>
          <w:bCs w:val="0"/>
          <w:sz w:val="22"/>
          <w:szCs w:val="22"/>
        </w:rPr>
      </w:pPr>
      <w:r w:rsidRPr="00E93042">
        <w:rPr>
          <w:rFonts w:ascii="Times New Roman" w:hAnsi="Times New Roman" w:cs="Times New Roman"/>
          <w:b/>
          <w:bCs w:val="0"/>
          <w:sz w:val="22"/>
          <w:szCs w:val="22"/>
        </w:rPr>
        <w:t>Przewidywanie skutki społeczne, gospodarcze i prawne</w:t>
      </w:r>
    </w:p>
    <w:p w14:paraId="214609AA" w14:textId="77777777" w:rsidR="00230D69" w:rsidRPr="00E93042" w:rsidRDefault="00230D69" w:rsidP="008E205D">
      <w:pPr>
        <w:pStyle w:val="PKTpunkt"/>
        <w:rPr>
          <w:rFonts w:ascii="Times New Roman" w:hAnsi="Times New Roman" w:cs="Times New Roman"/>
          <w:b/>
          <w:bCs w:val="0"/>
          <w:sz w:val="22"/>
          <w:szCs w:val="22"/>
        </w:rPr>
      </w:pPr>
    </w:p>
    <w:p w14:paraId="335A5EE3" w14:textId="31B563CE" w:rsidR="00230D69" w:rsidRPr="00E93042" w:rsidRDefault="00230D69" w:rsidP="008E205D">
      <w:pPr>
        <w:pStyle w:val="PKTpunkt"/>
        <w:ind w:left="1218"/>
        <w:rPr>
          <w:rFonts w:ascii="Times New Roman" w:hAnsi="Times New Roman" w:cs="Times New Roman"/>
          <w:sz w:val="22"/>
          <w:szCs w:val="22"/>
        </w:rPr>
      </w:pPr>
      <w:r w:rsidRPr="00E93042">
        <w:rPr>
          <w:rFonts w:ascii="Times New Roman" w:hAnsi="Times New Roman" w:cs="Times New Roman"/>
          <w:sz w:val="22"/>
          <w:szCs w:val="22"/>
        </w:rPr>
        <w:t xml:space="preserve">Projekt wywołała pozytywne skutki społeczne, gospodarcze i prawne. </w:t>
      </w:r>
    </w:p>
    <w:p w14:paraId="6FA30991" w14:textId="77777777" w:rsidR="00274CF5" w:rsidRPr="00E93042" w:rsidRDefault="00274CF5" w:rsidP="008E205D">
      <w:pPr>
        <w:pStyle w:val="PKTpunkt"/>
        <w:ind w:left="0" w:firstLine="0"/>
        <w:rPr>
          <w:rFonts w:ascii="Times New Roman" w:hAnsi="Times New Roman" w:cs="Times New Roman"/>
          <w:sz w:val="22"/>
          <w:szCs w:val="22"/>
        </w:rPr>
      </w:pPr>
    </w:p>
    <w:p w14:paraId="3CF86ABC" w14:textId="5F897D47" w:rsidR="00274CF5" w:rsidRPr="00E93042" w:rsidRDefault="00274CF5" w:rsidP="008E205D">
      <w:pPr>
        <w:pStyle w:val="PKTpunkt"/>
        <w:numPr>
          <w:ilvl w:val="0"/>
          <w:numId w:val="2"/>
        </w:numPr>
        <w:rPr>
          <w:rFonts w:ascii="Times New Roman" w:hAnsi="Times New Roman" w:cs="Times New Roman"/>
          <w:b/>
          <w:bCs w:val="0"/>
          <w:sz w:val="22"/>
          <w:szCs w:val="22"/>
        </w:rPr>
      </w:pPr>
      <w:r w:rsidRPr="00E93042">
        <w:rPr>
          <w:rFonts w:ascii="Times New Roman" w:hAnsi="Times New Roman" w:cs="Times New Roman"/>
          <w:b/>
          <w:bCs w:val="0"/>
          <w:sz w:val="22"/>
          <w:szCs w:val="22"/>
        </w:rPr>
        <w:t>Oświadczenie, że przedmiot regulacji nie jest objęty prawem Unii Europejskiej</w:t>
      </w:r>
    </w:p>
    <w:p w14:paraId="662E24FD" w14:textId="5D247F8C" w:rsidR="00274CF5" w:rsidRPr="00E93042" w:rsidRDefault="00274CF5" w:rsidP="008E205D">
      <w:pPr>
        <w:pStyle w:val="PKTpunkt"/>
        <w:ind w:left="720" w:firstLine="0"/>
        <w:rPr>
          <w:rFonts w:ascii="Times New Roman" w:hAnsi="Times New Roman" w:cs="Times New Roman"/>
          <w:sz w:val="22"/>
          <w:szCs w:val="22"/>
        </w:rPr>
      </w:pPr>
      <w:r w:rsidRPr="00E93042">
        <w:rPr>
          <w:rFonts w:ascii="Times New Roman" w:hAnsi="Times New Roman" w:cs="Times New Roman"/>
          <w:sz w:val="22"/>
          <w:szCs w:val="22"/>
        </w:rPr>
        <w:t xml:space="preserve">Przedmiot projektowanej regulacji nie jest objętym prawem Unii Europejskiej. </w:t>
      </w:r>
    </w:p>
    <w:p w14:paraId="345CDD45" w14:textId="77777777" w:rsidR="008E205D" w:rsidRPr="00E93042" w:rsidRDefault="008E205D">
      <w:pPr>
        <w:pStyle w:val="PKTpunkt"/>
        <w:ind w:left="720" w:firstLine="0"/>
        <w:rPr>
          <w:rFonts w:ascii="Times New Roman" w:hAnsi="Times New Roman" w:cs="Times New Roman"/>
          <w:sz w:val="22"/>
          <w:szCs w:val="22"/>
        </w:rPr>
      </w:pPr>
    </w:p>
    <w:p w14:paraId="24D9C45F" w14:textId="77777777" w:rsidR="0050022E" w:rsidRPr="00E93042" w:rsidRDefault="0050022E" w:rsidP="0050022E">
      <w:pPr>
        <w:spacing w:after="0" w:line="240" w:lineRule="auto"/>
        <w:jc w:val="center"/>
        <w:rPr>
          <w:rFonts w:ascii="Times New Roman" w:hAnsi="Times New Roman"/>
          <w:b/>
          <w:bCs/>
        </w:rPr>
      </w:pPr>
    </w:p>
    <w:p w14:paraId="666358B7" w14:textId="77777777" w:rsidR="0050022E" w:rsidRPr="00E93042" w:rsidRDefault="0050022E" w:rsidP="0050022E">
      <w:pPr>
        <w:spacing w:after="0" w:line="240" w:lineRule="auto"/>
        <w:jc w:val="center"/>
        <w:rPr>
          <w:rFonts w:ascii="Times New Roman" w:hAnsi="Times New Roman"/>
          <w:b/>
          <w:bCs/>
        </w:rPr>
      </w:pPr>
    </w:p>
    <w:p w14:paraId="59FC4018" w14:textId="77777777" w:rsidR="0050022E" w:rsidRPr="00E93042" w:rsidRDefault="0050022E" w:rsidP="0050022E">
      <w:pPr>
        <w:spacing w:after="0" w:line="240" w:lineRule="auto"/>
        <w:jc w:val="center"/>
        <w:rPr>
          <w:rFonts w:ascii="Times New Roman" w:hAnsi="Times New Roman"/>
          <w:b/>
          <w:bCs/>
        </w:rPr>
      </w:pPr>
    </w:p>
    <w:p w14:paraId="04E85785" w14:textId="77777777" w:rsidR="0050022E" w:rsidRPr="00E93042" w:rsidRDefault="0050022E" w:rsidP="0050022E">
      <w:pPr>
        <w:spacing w:after="0" w:line="240" w:lineRule="auto"/>
        <w:jc w:val="center"/>
        <w:rPr>
          <w:rFonts w:ascii="Times New Roman" w:hAnsi="Times New Roman"/>
          <w:b/>
          <w:bCs/>
        </w:rPr>
      </w:pPr>
    </w:p>
    <w:p w14:paraId="19484CC8" w14:textId="77777777" w:rsidR="0050022E" w:rsidRPr="00E93042" w:rsidRDefault="0050022E" w:rsidP="0050022E">
      <w:pPr>
        <w:spacing w:after="0" w:line="240" w:lineRule="auto"/>
        <w:jc w:val="center"/>
        <w:rPr>
          <w:rFonts w:ascii="Times New Roman" w:hAnsi="Times New Roman"/>
          <w:b/>
          <w:bCs/>
        </w:rPr>
      </w:pPr>
    </w:p>
    <w:p w14:paraId="4177DE4B" w14:textId="77777777" w:rsidR="0050022E" w:rsidRPr="00E93042" w:rsidRDefault="0050022E" w:rsidP="0050022E">
      <w:pPr>
        <w:spacing w:after="0" w:line="240" w:lineRule="auto"/>
        <w:jc w:val="center"/>
        <w:rPr>
          <w:rFonts w:ascii="Times New Roman" w:hAnsi="Times New Roman"/>
          <w:b/>
          <w:bCs/>
        </w:rPr>
      </w:pPr>
    </w:p>
    <w:p w14:paraId="0E5A8560" w14:textId="77777777" w:rsidR="0050022E" w:rsidRPr="00E93042" w:rsidRDefault="0050022E" w:rsidP="0050022E">
      <w:pPr>
        <w:spacing w:after="0" w:line="240" w:lineRule="auto"/>
        <w:jc w:val="center"/>
        <w:rPr>
          <w:rFonts w:ascii="Times New Roman" w:hAnsi="Times New Roman"/>
          <w:b/>
          <w:bCs/>
        </w:rPr>
      </w:pPr>
    </w:p>
    <w:p w14:paraId="4CFA3F0F" w14:textId="77777777" w:rsidR="0050022E" w:rsidRPr="00E93042" w:rsidRDefault="0050022E" w:rsidP="0050022E">
      <w:pPr>
        <w:spacing w:after="0" w:line="240" w:lineRule="auto"/>
        <w:jc w:val="center"/>
        <w:rPr>
          <w:rFonts w:ascii="Times New Roman" w:hAnsi="Times New Roman"/>
          <w:b/>
          <w:bCs/>
        </w:rPr>
      </w:pPr>
    </w:p>
    <w:p w14:paraId="5DA4C76F" w14:textId="77777777" w:rsidR="0050022E" w:rsidRPr="00E93042" w:rsidRDefault="0050022E" w:rsidP="0050022E">
      <w:pPr>
        <w:spacing w:after="0" w:line="240" w:lineRule="auto"/>
        <w:jc w:val="center"/>
        <w:rPr>
          <w:rFonts w:ascii="Times New Roman" w:hAnsi="Times New Roman"/>
          <w:b/>
          <w:bCs/>
        </w:rPr>
      </w:pPr>
    </w:p>
    <w:p w14:paraId="7F593B70" w14:textId="77777777" w:rsidR="0050022E" w:rsidRPr="00E93042" w:rsidRDefault="0050022E" w:rsidP="0050022E">
      <w:pPr>
        <w:spacing w:after="0" w:line="240" w:lineRule="auto"/>
        <w:jc w:val="center"/>
        <w:rPr>
          <w:rFonts w:ascii="Times New Roman" w:hAnsi="Times New Roman"/>
          <w:b/>
          <w:bCs/>
        </w:rPr>
      </w:pPr>
    </w:p>
    <w:p w14:paraId="4382B53F" w14:textId="77777777" w:rsidR="0050022E" w:rsidRPr="00E93042" w:rsidRDefault="0050022E" w:rsidP="0050022E">
      <w:pPr>
        <w:spacing w:after="0" w:line="240" w:lineRule="auto"/>
        <w:jc w:val="center"/>
        <w:rPr>
          <w:rFonts w:ascii="Times New Roman" w:hAnsi="Times New Roman"/>
          <w:b/>
          <w:bCs/>
        </w:rPr>
      </w:pPr>
    </w:p>
    <w:p w14:paraId="4EDA8098" w14:textId="77777777" w:rsidR="0050022E" w:rsidRPr="00E93042" w:rsidRDefault="0050022E" w:rsidP="0050022E">
      <w:pPr>
        <w:spacing w:after="0" w:line="240" w:lineRule="auto"/>
        <w:jc w:val="center"/>
        <w:rPr>
          <w:rFonts w:ascii="Times New Roman" w:hAnsi="Times New Roman"/>
          <w:b/>
          <w:bCs/>
        </w:rPr>
      </w:pPr>
    </w:p>
    <w:p w14:paraId="7AE6AEC4" w14:textId="77777777" w:rsidR="0050022E" w:rsidRPr="00E93042" w:rsidRDefault="0050022E" w:rsidP="0050022E">
      <w:pPr>
        <w:spacing w:after="0" w:line="240" w:lineRule="auto"/>
        <w:jc w:val="center"/>
        <w:rPr>
          <w:rFonts w:ascii="Times New Roman" w:hAnsi="Times New Roman"/>
          <w:b/>
          <w:bCs/>
        </w:rPr>
      </w:pPr>
    </w:p>
    <w:p w14:paraId="607507E1" w14:textId="77777777" w:rsidR="0050022E" w:rsidRPr="00E93042" w:rsidRDefault="0050022E" w:rsidP="0050022E">
      <w:pPr>
        <w:spacing w:after="0" w:line="240" w:lineRule="auto"/>
        <w:jc w:val="center"/>
        <w:rPr>
          <w:rFonts w:ascii="Times New Roman" w:hAnsi="Times New Roman"/>
          <w:b/>
          <w:bCs/>
        </w:rPr>
      </w:pPr>
    </w:p>
    <w:p w14:paraId="402B253B" w14:textId="77777777" w:rsidR="0050022E" w:rsidRPr="00E93042" w:rsidRDefault="0050022E" w:rsidP="0050022E">
      <w:pPr>
        <w:spacing w:after="0" w:line="240" w:lineRule="auto"/>
        <w:jc w:val="center"/>
        <w:rPr>
          <w:rFonts w:ascii="Times New Roman" w:hAnsi="Times New Roman"/>
          <w:b/>
          <w:bCs/>
        </w:rPr>
      </w:pPr>
    </w:p>
    <w:p w14:paraId="0078743A" w14:textId="77777777" w:rsidR="0050022E" w:rsidRPr="00E93042" w:rsidRDefault="0050022E" w:rsidP="0050022E">
      <w:pPr>
        <w:spacing w:after="0" w:line="240" w:lineRule="auto"/>
        <w:jc w:val="center"/>
        <w:rPr>
          <w:rFonts w:ascii="Times New Roman" w:hAnsi="Times New Roman"/>
          <w:b/>
          <w:bCs/>
        </w:rPr>
      </w:pPr>
    </w:p>
    <w:p w14:paraId="7843A587" w14:textId="77777777" w:rsidR="0050022E" w:rsidRPr="00E93042" w:rsidRDefault="0050022E" w:rsidP="0050022E">
      <w:pPr>
        <w:spacing w:after="0" w:line="240" w:lineRule="auto"/>
        <w:jc w:val="center"/>
        <w:rPr>
          <w:rFonts w:ascii="Times New Roman" w:hAnsi="Times New Roman"/>
          <w:b/>
          <w:bCs/>
        </w:rPr>
      </w:pPr>
    </w:p>
    <w:p w14:paraId="5CD9DA1D" w14:textId="77777777" w:rsidR="0050022E" w:rsidRPr="00E93042" w:rsidRDefault="0050022E" w:rsidP="0050022E">
      <w:pPr>
        <w:spacing w:after="0" w:line="240" w:lineRule="auto"/>
        <w:jc w:val="center"/>
        <w:rPr>
          <w:rFonts w:ascii="Times New Roman" w:hAnsi="Times New Roman"/>
          <w:b/>
          <w:bCs/>
        </w:rPr>
      </w:pPr>
    </w:p>
    <w:p w14:paraId="652E35B8" w14:textId="77777777" w:rsidR="0050022E" w:rsidRPr="00E93042" w:rsidRDefault="0050022E" w:rsidP="0050022E">
      <w:pPr>
        <w:spacing w:after="0" w:line="240" w:lineRule="auto"/>
        <w:jc w:val="center"/>
        <w:rPr>
          <w:rFonts w:ascii="Times New Roman" w:hAnsi="Times New Roman"/>
          <w:b/>
          <w:bCs/>
        </w:rPr>
      </w:pPr>
    </w:p>
    <w:p w14:paraId="16B6512A" w14:textId="77777777" w:rsidR="0050022E" w:rsidRPr="00E93042" w:rsidRDefault="0050022E" w:rsidP="0050022E">
      <w:pPr>
        <w:spacing w:after="0" w:line="240" w:lineRule="auto"/>
        <w:jc w:val="center"/>
        <w:rPr>
          <w:rFonts w:ascii="Times New Roman" w:hAnsi="Times New Roman"/>
          <w:b/>
          <w:bCs/>
        </w:rPr>
      </w:pPr>
    </w:p>
    <w:p w14:paraId="23E9181D" w14:textId="77777777" w:rsidR="0050022E" w:rsidRPr="00E93042" w:rsidRDefault="0050022E" w:rsidP="0050022E">
      <w:pPr>
        <w:spacing w:after="0" w:line="240" w:lineRule="auto"/>
        <w:jc w:val="center"/>
        <w:rPr>
          <w:rFonts w:ascii="Times New Roman" w:hAnsi="Times New Roman"/>
          <w:b/>
          <w:bCs/>
        </w:rPr>
      </w:pPr>
    </w:p>
    <w:p w14:paraId="04BA3C23" w14:textId="77777777" w:rsidR="00E93042" w:rsidRDefault="00E93042" w:rsidP="0050022E">
      <w:pPr>
        <w:spacing w:after="0" w:line="240" w:lineRule="auto"/>
        <w:jc w:val="center"/>
        <w:rPr>
          <w:rFonts w:ascii="Times New Roman" w:hAnsi="Times New Roman"/>
          <w:b/>
          <w:bCs/>
        </w:rPr>
      </w:pPr>
    </w:p>
    <w:p w14:paraId="1326EE2F" w14:textId="77777777" w:rsidR="00E93042" w:rsidRDefault="00E93042" w:rsidP="0050022E">
      <w:pPr>
        <w:spacing w:after="0" w:line="240" w:lineRule="auto"/>
        <w:jc w:val="center"/>
        <w:rPr>
          <w:rFonts w:ascii="Times New Roman" w:hAnsi="Times New Roman"/>
          <w:b/>
          <w:bCs/>
        </w:rPr>
      </w:pPr>
    </w:p>
    <w:p w14:paraId="4725AD25" w14:textId="77A1BEF0" w:rsidR="0050022E" w:rsidRPr="00E93042" w:rsidRDefault="0050022E" w:rsidP="0050022E">
      <w:pPr>
        <w:spacing w:after="0" w:line="240" w:lineRule="auto"/>
        <w:jc w:val="center"/>
        <w:rPr>
          <w:rFonts w:ascii="Times New Roman" w:hAnsi="Times New Roman"/>
          <w:b/>
          <w:bCs/>
        </w:rPr>
      </w:pPr>
      <w:r w:rsidRPr="00E93042">
        <w:rPr>
          <w:rFonts w:ascii="Times New Roman" w:hAnsi="Times New Roman"/>
          <w:b/>
          <w:bCs/>
        </w:rPr>
        <w:lastRenderedPageBreak/>
        <w:t>DEKLAROWANE SKUTKI REGULACJI (DSR)</w:t>
      </w:r>
    </w:p>
    <w:p w14:paraId="0B704973" w14:textId="77777777" w:rsidR="0050022E" w:rsidRPr="00E93042" w:rsidRDefault="0050022E" w:rsidP="0050022E">
      <w:pPr>
        <w:spacing w:after="0" w:line="240" w:lineRule="auto"/>
        <w:jc w:val="center"/>
        <w:rPr>
          <w:rFonts w:ascii="Times New Roman" w:hAnsi="Times New Roman"/>
          <w:b/>
          <w:bCs/>
        </w:rPr>
      </w:pPr>
      <w:r w:rsidRPr="00E93042">
        <w:rPr>
          <w:rFonts w:ascii="Times New Roman" w:hAnsi="Times New Roman"/>
          <w:b/>
          <w:bCs/>
        </w:rPr>
        <w:t>projektu ustawy</w:t>
      </w:r>
    </w:p>
    <w:p w14:paraId="6DBE6E8E" w14:textId="77777777" w:rsidR="0050022E" w:rsidRPr="00E93042" w:rsidRDefault="0050022E" w:rsidP="0050022E">
      <w:pPr>
        <w:spacing w:after="0" w:line="240" w:lineRule="auto"/>
        <w:jc w:val="center"/>
        <w:rPr>
          <w:rFonts w:ascii="Times New Roman" w:hAnsi="Times New Roman"/>
          <w:b/>
          <w:bCs/>
        </w:rPr>
      </w:pPr>
    </w:p>
    <w:p w14:paraId="3DA43D1D" w14:textId="77777777" w:rsidR="0050022E" w:rsidRPr="00E93042" w:rsidRDefault="0050022E" w:rsidP="0050022E">
      <w:pPr>
        <w:spacing w:after="0" w:line="240" w:lineRule="auto"/>
        <w:jc w:val="center"/>
        <w:rPr>
          <w:rFonts w:ascii="Times New Roman" w:hAnsi="Times New Roman"/>
          <w:b/>
          <w:bCs/>
        </w:rPr>
      </w:pPr>
    </w:p>
    <w:p w14:paraId="60C9615E" w14:textId="77777777" w:rsidR="0050022E" w:rsidRPr="00E93042" w:rsidRDefault="0050022E" w:rsidP="0050022E">
      <w:pPr>
        <w:tabs>
          <w:tab w:val="left" w:pos="2834"/>
        </w:tabs>
        <w:spacing w:after="0" w:line="240" w:lineRule="auto"/>
        <w:rPr>
          <w:rFonts w:ascii="Times New Roman" w:hAnsi="Times New Roman"/>
          <w:b/>
          <w:bCs/>
        </w:rPr>
      </w:pPr>
      <w:r w:rsidRPr="00E93042">
        <w:rPr>
          <w:rFonts w:ascii="Times New Roman" w:hAnsi="Times New Roman"/>
          <w:b/>
          <w:bCs/>
        </w:rPr>
        <w:tab/>
      </w:r>
    </w:p>
    <w:p w14:paraId="28A93934" w14:textId="77777777" w:rsidR="0050022E" w:rsidRPr="00E93042" w:rsidRDefault="0050022E" w:rsidP="0050022E">
      <w:pPr>
        <w:tabs>
          <w:tab w:val="left" w:pos="6290"/>
        </w:tabs>
        <w:jc w:val="both"/>
        <w:rPr>
          <w:rFonts w:ascii="Times New Roman" w:hAnsi="Times New Roman"/>
          <w:b/>
          <w:bCs/>
        </w:rPr>
      </w:pPr>
      <w:r w:rsidRPr="00E93042">
        <w:rPr>
          <w:rFonts w:ascii="Times New Roman" w:hAnsi="Times New Roman"/>
          <w:b/>
          <w:bCs/>
        </w:rPr>
        <w:t>Informacja o projekcie</w:t>
      </w:r>
      <w:r w:rsidRPr="00E93042">
        <w:rPr>
          <w:rFonts w:ascii="Times New Roman" w:hAnsi="Times New Roman"/>
          <w:b/>
          <w:bCs/>
        </w:rPr>
        <w:tab/>
      </w:r>
    </w:p>
    <w:p w14:paraId="7F044280" w14:textId="77777777" w:rsidR="0050022E" w:rsidRPr="00E93042" w:rsidRDefault="0050022E" w:rsidP="0050022E">
      <w:pPr>
        <w:ind w:left="360"/>
        <w:jc w:val="both"/>
        <w:rPr>
          <w:rFonts w:ascii="Times New Roman" w:hAnsi="Times New Roman"/>
        </w:rPr>
      </w:pPr>
      <w:r w:rsidRPr="00E93042">
        <w:rPr>
          <w:rFonts w:ascii="Times New Roman" w:hAnsi="Times New Roman"/>
        </w:rPr>
        <w:t>a) Tytuł projektu:</w:t>
      </w:r>
    </w:p>
    <w:tbl>
      <w:tblPr>
        <w:tblStyle w:val="Tabela-Siatka"/>
        <w:tblW w:w="9182" w:type="dxa"/>
        <w:tblLook w:val="04A0" w:firstRow="1" w:lastRow="0" w:firstColumn="1" w:lastColumn="0" w:noHBand="0" w:noVBand="1"/>
      </w:tblPr>
      <w:tblGrid>
        <w:gridCol w:w="9182"/>
      </w:tblGrid>
      <w:tr w:rsidR="0050022E" w:rsidRPr="00E93042" w14:paraId="56BED597" w14:textId="77777777" w:rsidTr="00583C72">
        <w:trPr>
          <w:trHeight w:val="410"/>
        </w:trPr>
        <w:tc>
          <w:tcPr>
            <w:tcW w:w="9182" w:type="dxa"/>
          </w:tcPr>
          <w:p w14:paraId="617814B2" w14:textId="7FE9F6F1" w:rsidR="0050022E" w:rsidRPr="00E93042" w:rsidRDefault="00E93042" w:rsidP="00583C72">
            <w:pPr>
              <w:jc w:val="both"/>
              <w:rPr>
                <w:rFonts w:ascii="Times New Roman" w:hAnsi="Times New Roman"/>
              </w:rPr>
            </w:pPr>
            <w:bookmarkStart w:id="0" w:name="_Hlk174516121"/>
            <w:r>
              <w:rPr>
                <w:rFonts w:ascii="Times New Roman" w:hAnsi="Times New Roman"/>
              </w:rPr>
              <w:t>Projekt u</w:t>
            </w:r>
            <w:r w:rsidR="0050022E" w:rsidRPr="00E93042">
              <w:rPr>
                <w:rFonts w:ascii="Times New Roman" w:hAnsi="Times New Roman"/>
              </w:rPr>
              <w:t>staw</w:t>
            </w:r>
            <w:r>
              <w:rPr>
                <w:rFonts w:ascii="Times New Roman" w:hAnsi="Times New Roman"/>
              </w:rPr>
              <w:t>y</w:t>
            </w:r>
            <w:r w:rsidR="0050022E" w:rsidRPr="00E93042">
              <w:rPr>
                <w:rFonts w:ascii="Times New Roman" w:hAnsi="Times New Roman"/>
              </w:rPr>
              <w:t xml:space="preserve"> o zmianie ustawy o zmianie ustawy o finansowym wsparciu tworzenia lokali socjalnych, mieszkań chronionych, noclegowni i domów dla bezdomnych oraz niektórych innych ustaw</w:t>
            </w:r>
          </w:p>
        </w:tc>
      </w:tr>
      <w:bookmarkEnd w:id="0"/>
    </w:tbl>
    <w:p w14:paraId="7214F564" w14:textId="77777777" w:rsidR="0050022E" w:rsidRPr="00E93042" w:rsidRDefault="0050022E" w:rsidP="0050022E">
      <w:pPr>
        <w:jc w:val="both"/>
        <w:rPr>
          <w:rFonts w:ascii="Times New Roman" w:hAnsi="Times New Roman"/>
          <w:b/>
          <w:bCs/>
        </w:rPr>
      </w:pPr>
    </w:p>
    <w:p w14:paraId="291700FB" w14:textId="77777777" w:rsidR="0050022E" w:rsidRPr="00E93042" w:rsidRDefault="0050022E" w:rsidP="0050022E">
      <w:pPr>
        <w:ind w:left="360"/>
        <w:jc w:val="both"/>
        <w:rPr>
          <w:rFonts w:ascii="Times New Roman" w:eastAsia="Times New Roman" w:hAnsi="Times New Roman"/>
        </w:rPr>
      </w:pPr>
      <w:r w:rsidRPr="00E93042">
        <w:rPr>
          <w:rFonts w:ascii="Times New Roman" w:eastAsia="Times New Roman" w:hAnsi="Times New Roman"/>
        </w:rPr>
        <w:t>b) Przedstawiciel wnioskodawcy:</w:t>
      </w:r>
    </w:p>
    <w:tbl>
      <w:tblPr>
        <w:tblStyle w:val="Tabela-Siatka"/>
        <w:tblW w:w="9209" w:type="dxa"/>
        <w:tblLook w:val="04A0" w:firstRow="1" w:lastRow="0" w:firstColumn="1" w:lastColumn="0" w:noHBand="0" w:noVBand="1"/>
      </w:tblPr>
      <w:tblGrid>
        <w:gridCol w:w="9209"/>
      </w:tblGrid>
      <w:tr w:rsidR="0050022E" w:rsidRPr="00E93042" w14:paraId="554E05E8" w14:textId="77777777" w:rsidTr="00583C72">
        <w:trPr>
          <w:trHeight w:val="671"/>
        </w:trPr>
        <w:tc>
          <w:tcPr>
            <w:tcW w:w="9209" w:type="dxa"/>
          </w:tcPr>
          <w:p w14:paraId="728D5634" w14:textId="77777777" w:rsidR="0050022E" w:rsidRPr="00E93042" w:rsidRDefault="0050022E" w:rsidP="00583C72">
            <w:pPr>
              <w:ind w:left="360"/>
              <w:jc w:val="both"/>
              <w:rPr>
                <w:rFonts w:ascii="Times New Roman" w:hAnsi="Times New Roman"/>
              </w:rPr>
            </w:pPr>
          </w:p>
          <w:p w14:paraId="3330EB7F" w14:textId="1DDCA73F" w:rsidR="0050022E" w:rsidRPr="00E93042" w:rsidRDefault="00E93042" w:rsidP="00583C72">
            <w:pPr>
              <w:ind w:left="360"/>
              <w:jc w:val="both"/>
              <w:rPr>
                <w:rFonts w:ascii="Times New Roman" w:eastAsia="Times New Roman" w:hAnsi="Times New Roman"/>
              </w:rPr>
            </w:pPr>
            <w:proofErr w:type="spellStart"/>
            <w:r w:rsidRPr="00E93042">
              <w:rPr>
                <w:rFonts w:ascii="Times New Roman" w:eastAsia="Times New Roman" w:hAnsi="Times New Roman"/>
              </w:rPr>
              <w:t>Anna-Maria</w:t>
            </w:r>
            <w:proofErr w:type="spellEnd"/>
            <w:r w:rsidRPr="00E93042">
              <w:rPr>
                <w:rFonts w:ascii="Times New Roman" w:eastAsia="Times New Roman" w:hAnsi="Times New Roman"/>
              </w:rPr>
              <w:t xml:space="preserve"> Żukowska</w:t>
            </w:r>
          </w:p>
          <w:p w14:paraId="76C74279" w14:textId="77777777" w:rsidR="0050022E" w:rsidRPr="00E93042" w:rsidRDefault="0050022E" w:rsidP="00583C72">
            <w:pPr>
              <w:jc w:val="both"/>
              <w:rPr>
                <w:rFonts w:ascii="Times New Roman" w:eastAsia="Times New Roman" w:hAnsi="Times New Roman"/>
                <w:color w:val="808080" w:themeColor="background1" w:themeShade="80"/>
              </w:rPr>
            </w:pPr>
          </w:p>
        </w:tc>
      </w:tr>
    </w:tbl>
    <w:p w14:paraId="2D456921" w14:textId="77777777" w:rsidR="0050022E" w:rsidRPr="00E93042" w:rsidRDefault="0050022E" w:rsidP="0050022E">
      <w:pPr>
        <w:rPr>
          <w:rFonts w:ascii="Times New Roman" w:hAnsi="Times New Roman"/>
          <w:b/>
          <w:bCs/>
        </w:rPr>
      </w:pPr>
    </w:p>
    <w:p w14:paraId="5ADED447" w14:textId="77777777" w:rsidR="0050022E" w:rsidRPr="00E93042" w:rsidRDefault="0050022E" w:rsidP="0050022E">
      <w:pPr>
        <w:rPr>
          <w:rFonts w:ascii="Times New Roman" w:hAnsi="Times New Roman"/>
          <w:b/>
          <w:bCs/>
        </w:rPr>
      </w:pPr>
    </w:p>
    <w:p w14:paraId="318297F6" w14:textId="77777777" w:rsidR="0050022E" w:rsidRPr="00E93042" w:rsidRDefault="0050022E" w:rsidP="0050022E">
      <w:pPr>
        <w:rPr>
          <w:rFonts w:ascii="Times New Roman" w:hAnsi="Times New Roman"/>
        </w:rPr>
      </w:pPr>
      <w:r w:rsidRPr="00E93042">
        <w:rPr>
          <w:rFonts w:ascii="Times New Roman" w:hAnsi="Times New Roman"/>
          <w:b/>
        </w:rPr>
        <w:t>I. Część wstępna</w:t>
      </w:r>
    </w:p>
    <w:p w14:paraId="7A0C8EFB" w14:textId="77777777" w:rsidR="0050022E" w:rsidRPr="00E93042" w:rsidRDefault="0050022E" w:rsidP="0050022E">
      <w:pPr>
        <w:jc w:val="both"/>
        <w:rPr>
          <w:rFonts w:ascii="Times New Roman" w:hAnsi="Times New Roman"/>
        </w:rPr>
      </w:pPr>
      <w:r w:rsidRPr="00E93042">
        <w:rPr>
          <w:rFonts w:ascii="Times New Roman" w:hAnsi="Times New Roman"/>
        </w:rPr>
        <w:t>[1] Zwięzły opis zidentyfikowanego problemu i proponowanych rozwiązań.</w:t>
      </w:r>
    </w:p>
    <w:tbl>
      <w:tblPr>
        <w:tblStyle w:val="Tabela-Siatka"/>
        <w:tblW w:w="0" w:type="auto"/>
        <w:tblLook w:val="04A0" w:firstRow="1" w:lastRow="0" w:firstColumn="1" w:lastColumn="0" w:noHBand="0" w:noVBand="1"/>
      </w:tblPr>
      <w:tblGrid>
        <w:gridCol w:w="9060"/>
      </w:tblGrid>
      <w:tr w:rsidR="0050022E" w:rsidRPr="00E93042" w14:paraId="7F27AC9B" w14:textId="77777777" w:rsidTr="00583C72">
        <w:tc>
          <w:tcPr>
            <w:tcW w:w="9060" w:type="dxa"/>
          </w:tcPr>
          <w:p w14:paraId="4ED6327C" w14:textId="77777777" w:rsidR="0050022E" w:rsidRPr="00E93042" w:rsidRDefault="0050022E" w:rsidP="00583C72">
            <w:pPr>
              <w:spacing w:before="120" w:after="120"/>
              <w:jc w:val="both"/>
              <w:rPr>
                <w:rFonts w:ascii="Times New Roman" w:eastAsia="Times New Roman" w:hAnsi="Times New Roman"/>
                <w:b/>
                <w:u w:val="single"/>
              </w:rPr>
            </w:pPr>
            <w:bookmarkStart w:id="1" w:name="OLE_LINK1"/>
            <w:bookmarkStart w:id="2" w:name="OLE_LINK2"/>
            <w:r w:rsidRPr="00E93042">
              <w:rPr>
                <w:rFonts w:ascii="Times New Roman" w:eastAsia="Times New Roman" w:hAnsi="Times New Roman"/>
                <w:b/>
                <w:u w:val="single"/>
              </w:rPr>
              <w:t xml:space="preserve">Tworzenie mieszkań na tani wynajem dla osób o niskich i przeciętnych dochodach </w:t>
            </w:r>
          </w:p>
          <w:p w14:paraId="0A5BB044"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Priorytetowym celem projektu ustawy jest umożliwienie wzrostu skali tego typu inwestycji w najbliższych latach, odpowiadającej zgłaszanemu przez samorządy i inwestorów zapotrzebowaniu. W tym zakresie projektowane rozwiązania umożliwią zachowanie potencjału tego sektora mieszkaniowego, wypracowanego w ostatnich latach w oparciu przede wszystkim o instrumenty wsparcia samorządów, tj. rządowy programy budownictwa socjalnego i komunalnego, zw. dalej „programem BSK”</w:t>
            </w:r>
            <w:r w:rsidRPr="00E93042">
              <w:rPr>
                <w:rFonts w:ascii="Times New Roman" w:eastAsia="Times New Roman" w:hAnsi="Times New Roman"/>
                <w:bCs/>
                <w:vertAlign w:val="superscript"/>
              </w:rPr>
              <w:footnoteReference w:id="2"/>
            </w:r>
            <w:r w:rsidRPr="00E93042">
              <w:rPr>
                <w:rFonts w:ascii="Times New Roman" w:eastAsia="Times New Roman" w:hAnsi="Times New Roman"/>
                <w:bCs/>
              </w:rPr>
              <w:t xml:space="preserve"> , oraz inwestorów, tj. rządowy programy preferencyjnych kredytów dla inwestorów społecznego budownictwa czynszowego, zw. dalej „programem SBC”</w:t>
            </w:r>
            <w:r w:rsidRPr="00E93042">
              <w:rPr>
                <w:rFonts w:ascii="Times New Roman" w:eastAsia="Times New Roman" w:hAnsi="Times New Roman"/>
                <w:bCs/>
                <w:vertAlign w:val="superscript"/>
              </w:rPr>
              <w:footnoteReference w:id="3"/>
            </w:r>
            <w:r w:rsidRPr="00E93042">
              <w:rPr>
                <w:rFonts w:ascii="Times New Roman" w:eastAsia="Times New Roman" w:hAnsi="Times New Roman"/>
                <w:bCs/>
              </w:rPr>
              <w:t>. Projektowane rozwiązania umożliwią ponadto budowę i remonty powierzchni zaspokajających potrzeby mieszkaniowe studentów, wpisując się w szeroko rozumianą politykę mieszkaniową i społeczną, dając samorządom dodatkowy bodziec do rozwoju lokalnego potencjału. Ułatwi to w znacznym stopniu migrację w celach edukacyjnych, wyrównując szanse mieszkańców całego kraju, mając bezpośredni wpływ na rozwój profesjonalnych kadr w Polsce.</w:t>
            </w:r>
          </w:p>
          <w:p w14:paraId="7A85E5C9"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Projekt odnosi się do szeregu szczegółowych zagadnień problemowych.</w:t>
            </w:r>
          </w:p>
          <w:p w14:paraId="7DCD3BFD" w14:textId="77777777" w:rsidR="0050022E" w:rsidRPr="00E93042" w:rsidRDefault="0050022E" w:rsidP="0050022E">
            <w:pPr>
              <w:pStyle w:val="Akapitzlist"/>
              <w:numPr>
                <w:ilvl w:val="0"/>
                <w:numId w:val="6"/>
              </w:numPr>
              <w:spacing w:line="276" w:lineRule="auto"/>
              <w:rPr>
                <w:rFonts w:ascii="Times New Roman" w:eastAsia="Times New Roman" w:hAnsi="Times New Roman"/>
                <w:b/>
                <w:bCs/>
                <w:i/>
                <w:iCs/>
              </w:rPr>
            </w:pPr>
            <w:r w:rsidRPr="00E93042">
              <w:rPr>
                <w:rFonts w:ascii="Times New Roman" w:eastAsia="Times New Roman" w:hAnsi="Times New Roman"/>
                <w:b/>
                <w:bCs/>
                <w:i/>
                <w:iCs/>
              </w:rPr>
              <w:t>Niewystarczające środki na wsparcie społecznego budownictwa mieszkaniowego – program SBC</w:t>
            </w:r>
          </w:p>
          <w:p w14:paraId="45834F5F"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W ramach programu SBC Bank Gospodarstwa Krajowego (BGK) udziela towarzystwom budownictwa społecznego (TBS)/społecznym inicjatywom mieszkaniowym (SIM), spółdzielniom </w:t>
            </w:r>
            <w:r w:rsidRPr="00E93042">
              <w:rPr>
                <w:rFonts w:ascii="Times New Roman" w:eastAsia="Times New Roman" w:hAnsi="Times New Roman"/>
                <w:bCs/>
              </w:rPr>
              <w:lastRenderedPageBreak/>
              <w:t>mieszkaniowym i spółkom gminnym z własnych środków kredyty oferowane na preferencyjnych warunkach na budowę mieszkań na wynajem o umiarkowanym czynszu (kwota udzielonego finansowania zwrotnego ma wynieść 4,5 mld zł w okresie 10 lat realizacji programu SBC, tj. 450 mln rocznie).</w:t>
            </w:r>
          </w:p>
          <w:p w14:paraId="5988D018"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Program SBC w liczbach:</w:t>
            </w:r>
          </w:p>
          <w:p w14:paraId="70A407BA" w14:textId="77777777" w:rsidR="0050022E" w:rsidRPr="00E93042" w:rsidRDefault="0050022E" w:rsidP="0050022E">
            <w:pPr>
              <w:pStyle w:val="Akapitzlist"/>
              <w:numPr>
                <w:ilvl w:val="0"/>
                <w:numId w:val="13"/>
              </w:numPr>
              <w:spacing w:before="120" w:after="120" w:line="240" w:lineRule="auto"/>
              <w:jc w:val="both"/>
              <w:rPr>
                <w:rFonts w:ascii="Times New Roman" w:eastAsia="Times New Roman" w:hAnsi="Times New Roman"/>
                <w:bCs/>
              </w:rPr>
            </w:pPr>
            <w:r w:rsidRPr="00E93042">
              <w:rPr>
                <w:rFonts w:ascii="Times New Roman" w:eastAsia="Times New Roman" w:hAnsi="Times New Roman"/>
                <w:bCs/>
              </w:rPr>
              <w:t>utworzony w 2015 r. program SBC rozpoczął swoje funkcjonowanie w 2016 r.;</w:t>
            </w:r>
          </w:p>
          <w:p w14:paraId="5FC950B2" w14:textId="77777777" w:rsidR="0050022E" w:rsidRPr="00E93042" w:rsidRDefault="0050022E" w:rsidP="0050022E">
            <w:pPr>
              <w:pStyle w:val="Akapitzlist"/>
              <w:numPr>
                <w:ilvl w:val="0"/>
                <w:numId w:val="13"/>
              </w:numPr>
              <w:spacing w:before="120" w:after="120" w:line="240" w:lineRule="auto"/>
              <w:jc w:val="both"/>
              <w:rPr>
                <w:rFonts w:ascii="Times New Roman" w:eastAsia="Times New Roman" w:hAnsi="Times New Roman"/>
                <w:bCs/>
              </w:rPr>
            </w:pPr>
            <w:r w:rsidRPr="00E93042">
              <w:rPr>
                <w:rFonts w:ascii="Times New Roman" w:eastAsia="Times New Roman" w:hAnsi="Times New Roman"/>
                <w:bCs/>
              </w:rPr>
              <w:t>założeniem programu jest budowa w ciągu 10 lat 30 tys. mieszkań;</w:t>
            </w:r>
          </w:p>
          <w:p w14:paraId="4929ACAE" w14:textId="77777777" w:rsidR="0050022E" w:rsidRPr="00E93042" w:rsidRDefault="0050022E" w:rsidP="0050022E">
            <w:pPr>
              <w:pStyle w:val="Akapitzlist"/>
              <w:numPr>
                <w:ilvl w:val="0"/>
                <w:numId w:val="13"/>
              </w:numPr>
              <w:spacing w:before="120" w:after="120" w:line="240" w:lineRule="auto"/>
              <w:jc w:val="both"/>
              <w:rPr>
                <w:rFonts w:ascii="Times New Roman" w:eastAsia="Times New Roman" w:hAnsi="Times New Roman"/>
                <w:bCs/>
              </w:rPr>
            </w:pPr>
            <w:r w:rsidRPr="00E93042">
              <w:rPr>
                <w:rFonts w:ascii="Times New Roman" w:eastAsia="Times New Roman" w:hAnsi="Times New Roman"/>
                <w:bCs/>
              </w:rPr>
              <w:t>w ciągu tego okresu w ramach dotychczasowych 17 edycji zakwalifikowanych pozostaje 530 wniosków na budowę prawie 27,8 tys. mieszkań, o wartości inwestycji 10,3 mld zł, na kwotę kredytów 4,41 mld zł. Dotychczas z tej puli oddane do użytkowania zostało ponad 9 tys. mieszkań.</w:t>
            </w:r>
          </w:p>
          <w:p w14:paraId="5ED27E41"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Inwestorzy programu SBC (głównie TBS/SIM) mogą łączyć preferencyjny kredyt ze środkami uzyskanymi przez gminę na mieszkania na wynajem w ramach programu BSK. Gmina może uzyskać bezzwrotne finansowe wsparcie z Funduszu Dopłat na ten cel w wysokości do 45% kosztów przedsięwzięcia, a jeżeli realizowane przez TBS/SIM mieszkania będą wynajmowane gminie w celu podnajmowania osobom spełniającym kryteria uzyskania lokalu z mieszkaniowego zasobu gminy, wówczas wysokość wsparcia z Funduszu Dopłat wynosi do 80% kosztów przedsięwzięcia. </w:t>
            </w:r>
          </w:p>
          <w:p w14:paraId="4C4264CB"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Zgodnie z pierwotnymi założeniami programu SBC, w 2024 r. miały się odbyć dwie ostatnie edycje programu.  W dniu 26 listopada 2024 r. zostało opublikowane w Dzienniku Ustaw RP rozporządzenie Rady Ministrów z dnia 20 listopada 2024 r. zmieniające rozporządzenie w sprawie warunków i trybu finansowania zwrotnego w ramach realizacji przez Bank Gospodarstwa Krajowego rządowego programu popierania budownictwa mieszkaniowego oraz minimalnych wymagań dotyczących lokali powstałych przy udziale tego finansowania (Dz.U. z 2024 r., poz. 1732). W ramach zmian umożliwiono w 2025 r. składanie wniosków w ramach dostępnej obecnie na program kwoty kredytów. </w:t>
            </w:r>
          </w:p>
          <w:p w14:paraId="2A21B024"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Konieczne jest podjęcie prac z BGK w celu kontynuacji instrumentu wsparcia w kolejnych latach. Wymaga to dalszych analiz w celu dostosowania instrumentu do aktualnych warunków rynkowych. </w:t>
            </w:r>
            <w:r w:rsidRPr="00E93042">
              <w:rPr>
                <w:rFonts w:ascii="Times New Roman" w:eastAsia="Times New Roman" w:hAnsi="Times New Roman"/>
                <w:b/>
              </w:rPr>
              <w:t>Do tego czasu, w krótkim okresie proponuje się wydłużenie aktualnego programu SBC o dwa lata, dając możliwość składania przez inwestorów wniosków o finansowanie zwrotne również w 2026 r.</w:t>
            </w:r>
            <w:r w:rsidRPr="00E93042">
              <w:rPr>
                <w:rFonts w:ascii="Times New Roman" w:eastAsia="Times New Roman" w:hAnsi="Times New Roman"/>
                <w:bCs/>
              </w:rPr>
              <w:t xml:space="preserve"> Wobec praktycznie wyczerpania puli dostępnych środków kredytowych, działaniu temu powinno towarzyszyć zwiększenie puli środków BGK, co będzie wymagało zwiększenia limitów wydatków budżetowych określonych w ustawach regulujących ten program.</w:t>
            </w:r>
          </w:p>
          <w:p w14:paraId="696F1A3C" w14:textId="77777777" w:rsidR="0050022E" w:rsidRPr="00E93042" w:rsidRDefault="0050022E" w:rsidP="00583C72">
            <w:pPr>
              <w:spacing w:before="120" w:after="120"/>
              <w:jc w:val="both"/>
              <w:rPr>
                <w:rFonts w:ascii="Times New Roman" w:eastAsia="Times New Roman" w:hAnsi="Times New Roman"/>
                <w:bCs/>
              </w:rPr>
            </w:pPr>
          </w:p>
          <w:p w14:paraId="664E62BC" w14:textId="77777777" w:rsidR="0050022E" w:rsidRPr="00E93042" w:rsidRDefault="0050022E" w:rsidP="0050022E">
            <w:pPr>
              <w:pStyle w:val="Akapitzlist"/>
              <w:numPr>
                <w:ilvl w:val="0"/>
                <w:numId w:val="6"/>
              </w:numPr>
              <w:spacing w:before="120" w:after="120" w:line="240" w:lineRule="auto"/>
              <w:jc w:val="both"/>
              <w:rPr>
                <w:rFonts w:ascii="Times New Roman" w:eastAsia="Times New Roman" w:hAnsi="Times New Roman"/>
                <w:b/>
                <w:bCs/>
                <w:i/>
                <w:iCs/>
              </w:rPr>
            </w:pPr>
            <w:r w:rsidRPr="00E93042">
              <w:rPr>
                <w:rFonts w:ascii="Times New Roman" w:eastAsia="Times New Roman" w:hAnsi="Times New Roman"/>
                <w:b/>
                <w:bCs/>
                <w:i/>
                <w:iCs/>
              </w:rPr>
              <w:t>Niewystarczające środki na wsparcie komunalnego i społecznego budownictwa mieszkaniowego – program BSK</w:t>
            </w:r>
          </w:p>
          <w:p w14:paraId="682EB88F"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Program BSK to bezzwrotne wsparcie budownictwa z Funduszu Dopłat. Instrument zwiększa liczbę lokali mieszkalnych przeznaczonych dla osób o niskich i przeciętnych dochodach oraz zagrożonych wykluczeniem społecznym</w:t>
            </w:r>
            <w:r w:rsidRPr="00E93042">
              <w:rPr>
                <w:rFonts w:ascii="Times New Roman" w:eastAsia="Times New Roman" w:hAnsi="Times New Roman"/>
              </w:rPr>
              <w:t>:</w:t>
            </w:r>
          </w:p>
          <w:p w14:paraId="636B463A" w14:textId="77777777" w:rsidR="0050022E" w:rsidRPr="00E93042" w:rsidRDefault="0050022E" w:rsidP="0050022E">
            <w:pPr>
              <w:numPr>
                <w:ilvl w:val="0"/>
                <w:numId w:val="7"/>
              </w:numPr>
              <w:spacing w:before="120" w:after="120" w:line="240" w:lineRule="auto"/>
              <w:jc w:val="both"/>
              <w:rPr>
                <w:rFonts w:ascii="Times New Roman" w:eastAsia="Times New Roman" w:hAnsi="Times New Roman"/>
                <w:bCs/>
              </w:rPr>
            </w:pPr>
            <w:r w:rsidRPr="00E93042">
              <w:rPr>
                <w:rFonts w:ascii="Times New Roman" w:eastAsia="Times New Roman" w:hAnsi="Times New Roman"/>
                <w:bCs/>
              </w:rPr>
              <w:t>program BSK jest realizowany od 17 lat;</w:t>
            </w:r>
          </w:p>
          <w:p w14:paraId="2571F7B6" w14:textId="77777777" w:rsidR="0050022E" w:rsidRPr="00E93042" w:rsidRDefault="0050022E" w:rsidP="0050022E">
            <w:pPr>
              <w:numPr>
                <w:ilvl w:val="0"/>
                <w:numId w:val="7"/>
              </w:numPr>
              <w:spacing w:before="120" w:after="120" w:line="240" w:lineRule="auto"/>
              <w:jc w:val="both"/>
              <w:rPr>
                <w:rFonts w:ascii="Times New Roman" w:eastAsia="Times New Roman" w:hAnsi="Times New Roman"/>
                <w:bCs/>
              </w:rPr>
            </w:pPr>
            <w:r w:rsidRPr="00E93042">
              <w:rPr>
                <w:rFonts w:ascii="Times New Roman" w:eastAsia="Times New Roman" w:hAnsi="Times New Roman"/>
                <w:bCs/>
              </w:rPr>
              <w:t>w ciągu tego okresu dofinansowanie otrzymały inwestycje obejmujące prawie 50 tysięcy mieszkań/miejsc noclegowych;</w:t>
            </w:r>
          </w:p>
          <w:p w14:paraId="2038D663" w14:textId="77777777" w:rsidR="0050022E" w:rsidRPr="00E93042" w:rsidRDefault="0050022E" w:rsidP="0050022E">
            <w:pPr>
              <w:numPr>
                <w:ilvl w:val="0"/>
                <w:numId w:val="7"/>
              </w:numPr>
              <w:spacing w:before="120" w:after="120" w:line="240" w:lineRule="auto"/>
              <w:jc w:val="both"/>
              <w:rPr>
                <w:rFonts w:ascii="Times New Roman" w:eastAsia="Times New Roman" w:hAnsi="Times New Roman"/>
                <w:bCs/>
              </w:rPr>
            </w:pPr>
            <w:r w:rsidRPr="00E93042">
              <w:rPr>
                <w:rFonts w:ascii="Times New Roman" w:eastAsia="Times New Roman" w:hAnsi="Times New Roman"/>
                <w:bCs/>
              </w:rPr>
              <w:t>finansowe wsparcie wynosi do 80% kosztów przedsięwzięcia w przypadku tworzenia lokalu wchodzącego w skład mieszkaniowego zasobu gminy i 35% kosztów przedsięwzięcia w przypadku tworzenia lokalu na wynajem w ramach społecznego budownictwa czynszowego;</w:t>
            </w:r>
          </w:p>
          <w:p w14:paraId="3F856291" w14:textId="77777777" w:rsidR="0050022E" w:rsidRPr="00E93042" w:rsidRDefault="0050022E" w:rsidP="0050022E">
            <w:pPr>
              <w:numPr>
                <w:ilvl w:val="0"/>
                <w:numId w:val="7"/>
              </w:numPr>
              <w:spacing w:before="120" w:after="120" w:line="240" w:lineRule="auto"/>
              <w:jc w:val="both"/>
              <w:rPr>
                <w:rFonts w:ascii="Times New Roman" w:eastAsia="Times New Roman" w:hAnsi="Times New Roman"/>
                <w:bCs/>
              </w:rPr>
            </w:pPr>
            <w:r w:rsidRPr="00E93042">
              <w:rPr>
                <w:rFonts w:ascii="Times New Roman" w:eastAsia="Times New Roman" w:hAnsi="Times New Roman"/>
                <w:bCs/>
              </w:rPr>
              <w:lastRenderedPageBreak/>
              <w:t>ostatnie 4 lata pokazują, że gminy będą realizować politykę mieszkaniową na szczeblu lokalnym, o ile zapewni się odpowiednie finansowanie z budżetu państwa (ponad 23 tysiące mieszkań/miejsc noclegowych).</w:t>
            </w:r>
          </w:p>
          <w:p w14:paraId="7B231CE7" w14:textId="77777777" w:rsidR="0050022E" w:rsidRPr="00E93042" w:rsidRDefault="0050022E" w:rsidP="0050022E">
            <w:pPr>
              <w:numPr>
                <w:ilvl w:val="0"/>
                <w:numId w:val="7"/>
              </w:numPr>
              <w:spacing w:before="120" w:after="120" w:line="240" w:lineRule="auto"/>
              <w:jc w:val="both"/>
              <w:rPr>
                <w:rFonts w:ascii="Times New Roman" w:eastAsia="Times New Roman" w:hAnsi="Times New Roman"/>
                <w:bCs/>
              </w:rPr>
            </w:pPr>
            <w:r w:rsidRPr="00E93042">
              <w:rPr>
                <w:rFonts w:ascii="Times New Roman" w:eastAsia="Times New Roman" w:hAnsi="Times New Roman"/>
                <w:bCs/>
              </w:rPr>
              <w:t>w latach 2021–2024 zanotowano trzykrotny wzrost powstających lokali mieszkalnych/miejsc noclegowych względem lat poprzednich;</w:t>
            </w:r>
          </w:p>
          <w:p w14:paraId="0D18CE05" w14:textId="77777777" w:rsidR="0050022E" w:rsidRPr="00E93042" w:rsidRDefault="0050022E" w:rsidP="0050022E">
            <w:pPr>
              <w:numPr>
                <w:ilvl w:val="0"/>
                <w:numId w:val="7"/>
              </w:numPr>
              <w:spacing w:before="120" w:after="120" w:line="240" w:lineRule="auto"/>
              <w:jc w:val="both"/>
              <w:rPr>
                <w:rFonts w:ascii="Times New Roman" w:eastAsia="Times New Roman" w:hAnsi="Times New Roman"/>
                <w:bCs/>
              </w:rPr>
            </w:pPr>
            <w:r w:rsidRPr="00E93042">
              <w:rPr>
                <w:rFonts w:ascii="Times New Roman" w:eastAsia="Times New Roman" w:hAnsi="Times New Roman"/>
                <w:bCs/>
              </w:rPr>
              <w:t>zapotrzebowanie środków na 2025 r. wynikające z wniosków złożonych w BGK (spełniających wymagania i w trakcie i oceny wg informacji BGK za 3 kwartały 2024 r.) wynosi około 3 mld zł – przy kwocie zagwarantowanej w ustawie budżetowej na 2025 r. w wysokości 1 mld zł.</w:t>
            </w:r>
          </w:p>
          <w:p w14:paraId="0BA45249"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Zgodnie z aktualnie obowiązującymi przepisami ustawy z dnia 22 marca 2018 r. o zmianie ustawy o finansowym wsparciu tworzenia lokali socjalnych, mieszkań chronionych, noclegowni i domów dla bezdomnych, ustawy o ochronie praw lokatorów, mieszkaniowym zasobie gminy i o zmianie Kodeksu cywilnego oraz niektórych innych ustaw (Dz. U. poz. 756, z </w:t>
            </w:r>
            <w:proofErr w:type="spellStart"/>
            <w:r w:rsidRPr="00E93042">
              <w:rPr>
                <w:rFonts w:ascii="Times New Roman" w:eastAsia="Times New Roman" w:hAnsi="Times New Roman"/>
                <w:bCs/>
              </w:rPr>
              <w:t>późn</w:t>
            </w:r>
            <w:proofErr w:type="spellEnd"/>
            <w:r w:rsidRPr="00E93042">
              <w:rPr>
                <w:rFonts w:ascii="Times New Roman" w:eastAsia="Times New Roman" w:hAnsi="Times New Roman"/>
                <w:bCs/>
              </w:rPr>
              <w:t>. zm.), maksymalny wydatek budżetu państwa na program BSK w 2025 r. wynosi 1 mld zł.</w:t>
            </w:r>
          </w:p>
          <w:p w14:paraId="39F58466"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W ostatnich latach program BSK cieszy się ogromnym zainteresowaniem gmin, a zapotrzebowanie wynikające ze złożonych wniosków o finansowe wsparcie znacznie przewyższa środki finansowe zaplanowane w limitach ustawowych. Projekt ustawy jest odpowiedzią na zwiększoną aktywność inwestorów w obszarze mieszkalnictwa czynszowego oraz niedobór środków na finansowanie programu BSK. Zwiększone środki pozwolą na tworzenie większej liczby mieszkań dla osób najbardziej potrzebujących, a tym samym wpłyną na zmniejszenie liczby osób oczekujących na najem w mieszkaniowym zasobie gminy.</w:t>
            </w:r>
          </w:p>
          <w:p w14:paraId="1AE51AA5"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Pierwotnie limity na lata 2021–2025 wynosiły po 1 mld zł rocznie, a bezzwrotne finansowe wsparcie mogło być udzielane do wysokości środków zaplanowanych w ustawie budżetowej na dany rok. W ostatnich latach korzystnej zmianie uległy zasady finansowania programu BSK. Finansowe wsparcie jest udzielane w danym roku do łącznej wysokości środków budżetu państwa – zaplanowanych na dany rok na zasilenie Funduszu Dopłat z przeznaczeniem na sfinansowanie wypłat finansowego wsparcia – oraz wolnych środków tego Funduszu. Pozwala to na pełne wykorzystanie środków pozostających w Funduszu Dopłat na realizację programu BSK oraz na większe pokrycie zapotrzebowania zgłaszanego przez beneficjentów programu.</w:t>
            </w:r>
          </w:p>
          <w:p w14:paraId="623BDA65"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W 2021 r. podjęto działania mające na celu pozyskanie dodatkowych środków na realizację programu BSK. Fundusz Dopłat został zasilony dodatkowymi środkami pochodzącymi z Rządowego Funduszu Rozwoju Mieszkalnictwa – zgodnie z art. 33la ustawy z dnia 26 października 1995 r. o społecznych formach rozwoju mieszkalnictwa (Dz. U. z 2024 r. poz. 527, z </w:t>
            </w:r>
            <w:proofErr w:type="spellStart"/>
            <w:r w:rsidRPr="00E93042">
              <w:rPr>
                <w:rFonts w:ascii="Times New Roman" w:eastAsia="Times New Roman" w:hAnsi="Times New Roman"/>
                <w:bCs/>
              </w:rPr>
              <w:t>późn</w:t>
            </w:r>
            <w:proofErr w:type="spellEnd"/>
            <w:r w:rsidRPr="00E93042">
              <w:rPr>
                <w:rFonts w:ascii="Times New Roman" w:eastAsia="Times New Roman" w:hAnsi="Times New Roman"/>
                <w:bCs/>
              </w:rPr>
              <w:t xml:space="preserve">. zm.). Ponadto w roku 2024 RFRM uległ zamknięciu i wszystkie pozostałe wolne środki oraz aktywa pochodzące z ich sprzedaży zostały przeniesione na rachunek Funduszu Dopłat. Następnie ustawą z dnia 26 maja 2023 r. o pomocy państwa w oszczędzaniu na cele mieszkaniowe (Dz. U. poz. 1114, z </w:t>
            </w:r>
            <w:proofErr w:type="spellStart"/>
            <w:r w:rsidRPr="00E93042">
              <w:rPr>
                <w:rFonts w:ascii="Times New Roman" w:eastAsia="Times New Roman" w:hAnsi="Times New Roman"/>
                <w:bCs/>
              </w:rPr>
              <w:t>późn</w:t>
            </w:r>
            <w:proofErr w:type="spellEnd"/>
            <w:r w:rsidRPr="00E93042">
              <w:rPr>
                <w:rFonts w:ascii="Times New Roman" w:eastAsia="Times New Roman" w:hAnsi="Times New Roman"/>
                <w:bCs/>
              </w:rPr>
              <w:t>. zm.) zwiększono kwotę maksymalnego limitu wydatków budżetu państwa na 2023 r. do kwoty 1,5 mld zł. Działania te dały efekty w latach 2021–2024, co przedstawia poniższy wykres.</w:t>
            </w:r>
          </w:p>
          <w:p w14:paraId="2D364636" w14:textId="77777777" w:rsidR="0050022E" w:rsidRPr="00E93042" w:rsidRDefault="0050022E" w:rsidP="00583C72">
            <w:pPr>
              <w:spacing w:before="120" w:after="120"/>
              <w:ind w:left="771"/>
              <w:jc w:val="both"/>
              <w:rPr>
                <w:rFonts w:ascii="Times New Roman" w:eastAsia="Times New Roman" w:hAnsi="Times New Roman"/>
                <w:bCs/>
              </w:rPr>
            </w:pPr>
            <w:r w:rsidRPr="00E93042">
              <w:rPr>
                <w:rFonts w:ascii="Times New Roman" w:hAnsi="Times New Roman"/>
                <w:noProof/>
              </w:rPr>
              <w:lastRenderedPageBreak/>
              <w:drawing>
                <wp:inline distT="0" distB="0" distL="0" distR="0" wp14:anchorId="79E32B80" wp14:editId="1B08C05E">
                  <wp:extent cx="4641850" cy="2482850"/>
                  <wp:effectExtent l="0" t="0" r="6350" b="12700"/>
                  <wp:docPr id="2100321164" name="Wykres 1">
                    <a:extLst xmlns:a="http://schemas.openxmlformats.org/drawingml/2006/main">
                      <a:ext uri="{FF2B5EF4-FFF2-40B4-BE49-F238E27FC236}">
                        <a16:creationId xmlns:a16="http://schemas.microsoft.com/office/drawing/2014/main" id="{2C46DF29-063B-4933-4822-65F7E9498C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304037"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W ustawie budżetowej na 2024 r. środki na realizację programu BSK zostały zaplanowane w wysokości maksymalnego w momencie uchwalania budżetu limitu, tj. 1 mld zł. Wg informacji uzyskanych z Banku Gospodarstwa Krajowego (BGK), który jest operatorem programu BSK, łączne zapotrzebowanie wynikające z wniosków złożonych w 2023 r. (które nie zostały zakwalifikowane w 2023 r. ze względu na niewystarczające środki) i 2024 r., w tym również wnioski w trakcie oceny formalnej, przekroczyło kwotę planowanego zasilenia na rok 2024 o ponad 2,6 mld zł .</w:t>
            </w:r>
          </w:p>
          <w:p w14:paraId="541C331B"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Przesądzone wydaje się, że w przypadku braku zwiększenia puli dostępnych środków na program BSK problem ich braku będzie się nawarstwiał. Uwzględniając dynamikę wzrostów z lat 2020–2024 prognozuje się, że w 2025 r. mogą zostać złożone wnioski w wysokości nawet 4 mld zł. Co oznacza, że limity wydatków określone w przepisach regulujących program BSK są niewystarczające w stosunku do zgłaszanego przez samorządy zapotrzebowania. </w:t>
            </w:r>
          </w:p>
          <w:p w14:paraId="58E16454"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Brak zwiększenia limitów na realizację programu BSK w 2025 r. będzie stanowiło również zagrożenie dla realizacji inwestycji Krajowego Planu Odbudowy i Zwiększenia Odporności B3.5.1 „Inwestycje w energooszczędne budownictwo mieszkaniowe dla gospodarstw domowych o niskich i średnich dochodach”. Inwestycja jest częściowo finansowana ze środków KPO oraz środków budżetu państwa, będących w dyspozycji Ministra Rozwoju i Technologii (środki Funduszu Dopłat). W ramach inwestycji B3.5.1, wg stanu na dzień 10 stycznia 2025 r., zakwalifikowane dotychczas zostały 103 przedsięwzięcia w energooszczędne budownictwo mieszkaniowe, na kwotę wsparcia ze środków KPO około 570 mln zł. Pozwolą one na powstanie ponad 5,7 lokali mieszkalnych, komunalnych i społecznych czynszowych. Uśredniona wysokość wsparcia wynosi dla tych przedsięwzięć około 21%. Inwestycje te wymagają dodatkowo pokrycia montażu w części krajowej, z Funduszu Dopłat. Brak odpowiednich środków w tym zakresie stanowi zagrożenie dla realizacji inwestycji KPO. </w:t>
            </w:r>
            <w:r w:rsidRPr="00E93042">
              <w:rPr>
                <w:rFonts w:ascii="Times New Roman" w:eastAsia="Times New Roman" w:hAnsi="Times New Roman"/>
                <w:b/>
              </w:rPr>
              <w:t>Mając na uwadze niezaspokojone zapotrzebowanie zgłaszane do Funduszu Dopłat (3,6 mld zł we wnioskach oczekujących na kwalifikację), konieczne jest podjęcie działań zmniejszających presję na środki krajowe w zakresie inwestycji B3.5.1.</w:t>
            </w:r>
            <w:r w:rsidRPr="00E93042">
              <w:rPr>
                <w:rFonts w:ascii="Times New Roman" w:eastAsia="Times New Roman" w:hAnsi="Times New Roman"/>
                <w:bCs/>
              </w:rPr>
              <w:t xml:space="preserve">  </w:t>
            </w:r>
          </w:p>
          <w:p w14:paraId="59D2DC55" w14:textId="77777777" w:rsidR="0050022E" w:rsidRPr="00E93042" w:rsidRDefault="0050022E" w:rsidP="00583C72">
            <w:pPr>
              <w:spacing w:before="120" w:after="120"/>
              <w:jc w:val="both"/>
              <w:rPr>
                <w:rFonts w:ascii="Times New Roman" w:eastAsia="Times New Roman" w:hAnsi="Times New Roman"/>
                <w:bCs/>
              </w:rPr>
            </w:pPr>
          </w:p>
          <w:p w14:paraId="095B7F5A" w14:textId="77777777" w:rsidR="0050022E" w:rsidRPr="00E93042" w:rsidRDefault="0050022E" w:rsidP="0050022E">
            <w:pPr>
              <w:pStyle w:val="Akapitzlist"/>
              <w:numPr>
                <w:ilvl w:val="0"/>
                <w:numId w:val="6"/>
              </w:numPr>
              <w:spacing w:before="120" w:after="120" w:line="240" w:lineRule="auto"/>
              <w:jc w:val="both"/>
              <w:rPr>
                <w:rFonts w:ascii="Times New Roman" w:eastAsia="Times New Roman" w:hAnsi="Times New Roman"/>
                <w:b/>
                <w:i/>
                <w:iCs/>
              </w:rPr>
            </w:pPr>
            <w:r w:rsidRPr="00E93042">
              <w:rPr>
                <w:rFonts w:ascii="Times New Roman" w:eastAsia="Times New Roman" w:hAnsi="Times New Roman"/>
                <w:b/>
                <w:i/>
                <w:iCs/>
              </w:rPr>
              <w:t>Niewykorzystany potencjał pustostanów komunalnych</w:t>
            </w:r>
          </w:p>
          <w:p w14:paraId="16314457"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Według Narodowego Spisu Powszechnego Ludności i Mieszkań 2021 r. w Polsce jest 1,8 mln mieszkań niezamieszkanych, z czego własność gminy stanowi 113 336 lokali. Większość gminnych pustostanów znajduje się na terenie miast (102 950 lokali). Zgodnie z Narodowym Spisem Powszechnym:</w:t>
            </w:r>
          </w:p>
          <w:p w14:paraId="7B176A42" w14:textId="77777777" w:rsidR="0050022E" w:rsidRPr="00E93042" w:rsidRDefault="0050022E" w:rsidP="0050022E">
            <w:pPr>
              <w:pStyle w:val="Akapitzlist"/>
              <w:numPr>
                <w:ilvl w:val="0"/>
                <w:numId w:val="8"/>
              </w:numPr>
              <w:spacing w:before="120" w:after="120" w:line="240" w:lineRule="auto"/>
              <w:jc w:val="both"/>
              <w:rPr>
                <w:rFonts w:ascii="Times New Roman" w:eastAsia="Times New Roman" w:hAnsi="Times New Roman"/>
                <w:bCs/>
              </w:rPr>
            </w:pPr>
            <w:r w:rsidRPr="00E93042">
              <w:rPr>
                <w:rFonts w:ascii="Times New Roman" w:eastAsia="Times New Roman" w:hAnsi="Times New Roman"/>
                <w:bCs/>
              </w:rPr>
              <w:t xml:space="preserve">14,1 % pustostanów gminnych nie ma ustępu, </w:t>
            </w:r>
          </w:p>
          <w:p w14:paraId="4C547012" w14:textId="77777777" w:rsidR="0050022E" w:rsidRPr="00E93042" w:rsidRDefault="0050022E" w:rsidP="0050022E">
            <w:pPr>
              <w:pStyle w:val="Akapitzlist"/>
              <w:numPr>
                <w:ilvl w:val="0"/>
                <w:numId w:val="8"/>
              </w:numPr>
              <w:spacing w:before="120" w:after="120" w:line="240" w:lineRule="auto"/>
              <w:jc w:val="both"/>
              <w:rPr>
                <w:rFonts w:ascii="Times New Roman" w:eastAsia="Times New Roman" w:hAnsi="Times New Roman"/>
                <w:bCs/>
              </w:rPr>
            </w:pPr>
            <w:r w:rsidRPr="00E93042">
              <w:rPr>
                <w:rFonts w:ascii="Times New Roman" w:eastAsia="Times New Roman" w:hAnsi="Times New Roman"/>
                <w:bCs/>
              </w:rPr>
              <w:t xml:space="preserve">35,8% nie ma gazu z sieci, </w:t>
            </w:r>
          </w:p>
          <w:p w14:paraId="5E5C3363" w14:textId="77777777" w:rsidR="0050022E" w:rsidRPr="00E93042" w:rsidRDefault="0050022E" w:rsidP="0050022E">
            <w:pPr>
              <w:pStyle w:val="Akapitzlist"/>
              <w:numPr>
                <w:ilvl w:val="0"/>
                <w:numId w:val="8"/>
              </w:numPr>
              <w:spacing w:before="120" w:after="120" w:line="240" w:lineRule="auto"/>
              <w:jc w:val="both"/>
              <w:rPr>
                <w:rFonts w:ascii="Times New Roman" w:eastAsia="Times New Roman" w:hAnsi="Times New Roman"/>
                <w:bCs/>
              </w:rPr>
            </w:pPr>
            <w:r w:rsidRPr="00E93042">
              <w:rPr>
                <w:rFonts w:ascii="Times New Roman" w:eastAsia="Times New Roman" w:hAnsi="Times New Roman"/>
                <w:bCs/>
              </w:rPr>
              <w:lastRenderedPageBreak/>
              <w:t xml:space="preserve">44,5% nie ma centralnego ogrzewania. </w:t>
            </w:r>
          </w:p>
          <w:p w14:paraId="122C366F"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Pustostany gminne wymagają zatem znacznych nakładów finansowych w celu przywrócenia ich do użytkowania. </w:t>
            </w:r>
          </w:p>
          <w:p w14:paraId="4530EF28"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Gminy coraz chętniej zwracają się do tej rezerwy lokalowej. Już obecnie jest to jeden z coraz istotniejszych elementów programu BSK. W 2023 r. zakwalifikowanych zostało 200 wniosków gmin o wsparcie remontu gminnych pustostanów, na kwotę wsparcia 150 mln zł. W ramach tych wniosków przywróconych do użytkowania w ramach mieszkaniowego zasobu gminy będzie 1294 lokale mieszkalne. W 2024 r. (wg stanu na dzień 31 sierpnia 2024 r.) zakwalifikowano 153 tego typu wnioski, na kwotę 112,8 mln zł. Dotyczą one 1023 lokal mieszkalnych. Kolejne 317 inwestycji w pustostany oczekuje na kwalifikacje bądź jest w trakcie oceny (na kwotę ponad 300 mln zł; 2725 lokali mieszkalnych).</w:t>
            </w:r>
          </w:p>
          <w:p w14:paraId="0153992B"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Zgodnie z powyższymi danymi Narodowego Spisu Powszechnego, gminy posiadają jednak znacznie większy zasób, który mógłby stanowić istotne wsparcie dla zaspokajania lokalnych potrzeb mieszkaniowych. </w:t>
            </w:r>
            <w:r w:rsidRPr="00E93042">
              <w:rPr>
                <w:rFonts w:ascii="Times New Roman" w:eastAsia="Times New Roman" w:hAnsi="Times New Roman"/>
                <w:b/>
              </w:rPr>
              <w:t>Odpowiedzią powinno być zwiększenie dostępności finansowego wsparcia na ten cel w ramach programu BSK.</w:t>
            </w:r>
            <w:r w:rsidRPr="00E93042">
              <w:rPr>
                <w:rFonts w:ascii="Times New Roman" w:eastAsia="Times New Roman" w:hAnsi="Times New Roman"/>
                <w:bCs/>
              </w:rPr>
              <w:t xml:space="preserve"> Jest to rozwiązanie już sprawdzone i ekonomicznie uzasadnione, ze względu na ograniczoną dostępność gruntów pod budownictwo mieszkaniowe. Zwiększenie dostępności wsparcia na tego typu inwestycje będzie miało pozytywny wpływ na zahamowanie trendu wyzbywania się przez gminy „trudnego”, wymagającego inwestycji zasobu.</w:t>
            </w:r>
            <w:bookmarkEnd w:id="1"/>
            <w:bookmarkEnd w:id="2"/>
          </w:p>
        </w:tc>
      </w:tr>
    </w:tbl>
    <w:p w14:paraId="3015BA09" w14:textId="77777777" w:rsidR="0050022E" w:rsidRPr="00E93042" w:rsidRDefault="0050022E" w:rsidP="0050022E">
      <w:pPr>
        <w:jc w:val="both"/>
        <w:rPr>
          <w:rFonts w:ascii="Times New Roman" w:hAnsi="Times New Roman"/>
        </w:rPr>
      </w:pPr>
    </w:p>
    <w:p w14:paraId="4C8EB6B9" w14:textId="77777777" w:rsidR="0050022E" w:rsidRPr="00E93042" w:rsidRDefault="0050022E" w:rsidP="0050022E">
      <w:pPr>
        <w:jc w:val="both"/>
        <w:rPr>
          <w:rFonts w:ascii="Times New Roman" w:hAnsi="Times New Roman"/>
        </w:rPr>
      </w:pPr>
      <w:r w:rsidRPr="00E93042">
        <w:rPr>
          <w:rFonts w:ascii="Times New Roman" w:hAnsi="Times New Roman"/>
        </w:rPr>
        <w:t>[2] Czy były rozważane rozwiązania alternatywne?</w:t>
      </w:r>
    </w:p>
    <w:p w14:paraId="1A04ADAD" w14:textId="77777777" w:rsidR="0050022E" w:rsidRPr="00E93042" w:rsidRDefault="0050022E" w:rsidP="0050022E">
      <w:pPr>
        <w:pStyle w:val="Akapitzlist"/>
        <w:numPr>
          <w:ilvl w:val="0"/>
          <w:numId w:val="4"/>
        </w:numPr>
        <w:spacing w:line="240" w:lineRule="auto"/>
        <w:jc w:val="both"/>
        <w:rPr>
          <w:rFonts w:ascii="Times New Roman" w:hAnsi="Times New Roman"/>
        </w:rPr>
      </w:pPr>
      <w:r w:rsidRPr="00E93042">
        <w:rPr>
          <w:rFonts w:ascii="Times New Roman" w:hAnsi="Times New Roman"/>
        </w:rPr>
        <w:t xml:space="preserve">Tak </w:t>
      </w:r>
    </w:p>
    <w:p w14:paraId="408790DA" w14:textId="77777777" w:rsidR="0050022E" w:rsidRPr="00E93042" w:rsidRDefault="0050022E" w:rsidP="0050022E">
      <w:pPr>
        <w:pStyle w:val="Akapitzlist"/>
        <w:numPr>
          <w:ilvl w:val="0"/>
          <w:numId w:val="4"/>
        </w:numPr>
        <w:spacing w:line="240" w:lineRule="auto"/>
        <w:jc w:val="both"/>
        <w:rPr>
          <w:rFonts w:ascii="Times New Roman" w:hAnsi="Times New Roman"/>
          <w:b/>
          <w:bCs/>
        </w:rPr>
      </w:pPr>
      <w:r w:rsidRPr="00E93042">
        <w:rPr>
          <w:rFonts w:ascii="Times New Roman" w:hAnsi="Times New Roman"/>
          <w:b/>
          <w:bCs/>
        </w:rPr>
        <w:t>Nie</w:t>
      </w:r>
    </w:p>
    <w:tbl>
      <w:tblPr>
        <w:tblStyle w:val="Tabela-Siatka"/>
        <w:tblW w:w="0" w:type="auto"/>
        <w:tblLook w:val="04A0" w:firstRow="1" w:lastRow="0" w:firstColumn="1" w:lastColumn="0" w:noHBand="0" w:noVBand="1"/>
      </w:tblPr>
      <w:tblGrid>
        <w:gridCol w:w="9062"/>
      </w:tblGrid>
      <w:tr w:rsidR="0050022E" w:rsidRPr="00E93042" w14:paraId="6B0FF7B5" w14:textId="77777777" w:rsidTr="00583C72">
        <w:tc>
          <w:tcPr>
            <w:tcW w:w="9062" w:type="dxa"/>
          </w:tcPr>
          <w:p w14:paraId="2BCCCE38" w14:textId="77777777" w:rsidR="0050022E" w:rsidRPr="00E93042" w:rsidRDefault="0050022E" w:rsidP="00583C72">
            <w:pPr>
              <w:jc w:val="both"/>
              <w:rPr>
                <w:rFonts w:ascii="Times New Roman" w:eastAsia="Times New Roman" w:hAnsi="Times New Roman"/>
              </w:rPr>
            </w:pPr>
            <w:bookmarkStart w:id="3" w:name="_Hlk174441549"/>
            <w:r w:rsidRPr="00E93042">
              <w:rPr>
                <w:rFonts w:ascii="Times New Roman" w:eastAsia="Times New Roman" w:hAnsi="Times New Roman"/>
              </w:rPr>
              <w:t>Rozwiązania zaproponowane w projekcie precyzyjnie adresują problemy opisane w części „</w:t>
            </w:r>
            <w:r w:rsidRPr="00E93042">
              <w:rPr>
                <w:rFonts w:ascii="Times New Roman" w:hAnsi="Times New Roman"/>
              </w:rPr>
              <w:t>Zwięzły opis zidentyfikowanego problemu i proponowanych rozwiązań”.</w:t>
            </w:r>
          </w:p>
        </w:tc>
      </w:tr>
      <w:bookmarkEnd w:id="3"/>
    </w:tbl>
    <w:p w14:paraId="5E9ED1E3" w14:textId="77777777" w:rsidR="0050022E" w:rsidRPr="00E93042" w:rsidRDefault="0050022E" w:rsidP="0050022E">
      <w:pPr>
        <w:rPr>
          <w:rFonts w:ascii="Times New Roman" w:hAnsi="Times New Roman"/>
          <w:b/>
        </w:rPr>
      </w:pPr>
    </w:p>
    <w:p w14:paraId="0DE6EA7A" w14:textId="77777777" w:rsidR="0050022E" w:rsidRPr="00E93042" w:rsidRDefault="0050022E" w:rsidP="0050022E">
      <w:pPr>
        <w:rPr>
          <w:rFonts w:ascii="Times New Roman" w:hAnsi="Times New Roman"/>
        </w:rPr>
      </w:pPr>
      <w:r w:rsidRPr="00E93042">
        <w:rPr>
          <w:rFonts w:ascii="Times New Roman" w:hAnsi="Times New Roman"/>
          <w:b/>
        </w:rPr>
        <w:br w:type="page"/>
      </w:r>
      <w:r w:rsidRPr="00E93042">
        <w:rPr>
          <w:rFonts w:ascii="Times New Roman" w:hAnsi="Times New Roman"/>
          <w:b/>
        </w:rPr>
        <w:lastRenderedPageBreak/>
        <w:t>II. Wymogi określone w art. 34 ust. 2 pkt 3–5 regulaminu Sejmu</w:t>
      </w:r>
    </w:p>
    <w:p w14:paraId="6EBE0B35" w14:textId="77777777" w:rsidR="0050022E" w:rsidRPr="00E93042" w:rsidRDefault="0050022E" w:rsidP="0050022E">
      <w:pPr>
        <w:jc w:val="both"/>
        <w:rPr>
          <w:rFonts w:ascii="Times New Roman" w:hAnsi="Times New Roman"/>
        </w:rPr>
      </w:pPr>
      <w:r w:rsidRPr="00E93042">
        <w:rPr>
          <w:rFonts w:ascii="Times New Roman" w:hAnsi="Times New Roman"/>
        </w:rPr>
        <w:t>[3] Jakie są przewidywane skutki prawne projektowanych rozwiązań?</w:t>
      </w:r>
    </w:p>
    <w:tbl>
      <w:tblPr>
        <w:tblStyle w:val="Tabela-Siatka"/>
        <w:tblW w:w="0" w:type="auto"/>
        <w:tblLook w:val="04A0" w:firstRow="1" w:lastRow="0" w:firstColumn="1" w:lastColumn="0" w:noHBand="0" w:noVBand="1"/>
      </w:tblPr>
      <w:tblGrid>
        <w:gridCol w:w="9062"/>
      </w:tblGrid>
      <w:tr w:rsidR="0050022E" w:rsidRPr="00E93042" w14:paraId="5BB8A40E" w14:textId="77777777" w:rsidTr="00583C72">
        <w:tc>
          <w:tcPr>
            <w:tcW w:w="9062" w:type="dxa"/>
          </w:tcPr>
          <w:p w14:paraId="0BC0D5A3" w14:textId="77777777" w:rsidR="0050022E" w:rsidRPr="00E93042" w:rsidRDefault="0050022E" w:rsidP="00583C72">
            <w:pPr>
              <w:shd w:val="clear" w:color="auto" w:fill="FFFFFF" w:themeFill="background1"/>
              <w:spacing w:after="120"/>
              <w:jc w:val="both"/>
              <w:rPr>
                <w:rFonts w:ascii="Times New Roman" w:hAnsi="Times New Roman"/>
              </w:rPr>
            </w:pPr>
            <w:r w:rsidRPr="00E93042">
              <w:rPr>
                <w:rFonts w:ascii="Times New Roman" w:hAnsi="Times New Roman"/>
                <w:b/>
                <w:bCs/>
              </w:rPr>
              <w:t xml:space="preserve">Art. 1 projektu ustawy </w:t>
            </w:r>
            <w:r w:rsidRPr="00E93042">
              <w:rPr>
                <w:rFonts w:ascii="Times New Roman" w:hAnsi="Times New Roman"/>
              </w:rPr>
              <w:t>zwiększa limit wydatków państwa na program BSK w 2025 roku z poziomu 1 mld do 4943,3 mln zł.</w:t>
            </w:r>
          </w:p>
          <w:p w14:paraId="7FD0788C" w14:textId="77777777" w:rsidR="0050022E" w:rsidRPr="00E93042" w:rsidRDefault="0050022E" w:rsidP="00583C72">
            <w:pPr>
              <w:shd w:val="clear" w:color="auto" w:fill="FFFFFF" w:themeFill="background1"/>
              <w:spacing w:after="120"/>
              <w:jc w:val="both"/>
              <w:rPr>
                <w:rFonts w:ascii="Times New Roman" w:hAnsi="Times New Roman"/>
                <w:b/>
                <w:bCs/>
              </w:rPr>
            </w:pPr>
            <w:r w:rsidRPr="00E93042">
              <w:rPr>
                <w:rFonts w:ascii="Times New Roman" w:hAnsi="Times New Roman"/>
                <w:b/>
                <w:bCs/>
              </w:rPr>
              <w:t xml:space="preserve">Art. 2 projektu ustawy </w:t>
            </w:r>
            <w:r w:rsidRPr="00E93042">
              <w:rPr>
                <w:rFonts w:ascii="Times New Roman" w:hAnsi="Times New Roman"/>
              </w:rPr>
              <w:t>określa nowe limity wydatków budżetu państwa na program BSK w latach 2026–2030</w:t>
            </w:r>
            <w:r w:rsidRPr="00E93042">
              <w:rPr>
                <w:rFonts w:ascii="Times New Roman" w:hAnsi="Times New Roman"/>
                <w:b/>
                <w:bCs/>
              </w:rPr>
              <w:t>.</w:t>
            </w:r>
          </w:p>
          <w:p w14:paraId="7BAD84BF" w14:textId="77777777" w:rsidR="0050022E" w:rsidRPr="00E93042" w:rsidRDefault="0050022E" w:rsidP="00583C72">
            <w:pPr>
              <w:spacing w:after="120"/>
              <w:jc w:val="both"/>
              <w:rPr>
                <w:rFonts w:ascii="Times New Roman" w:hAnsi="Times New Roman"/>
                <w:b/>
                <w:bCs/>
              </w:rPr>
            </w:pPr>
            <w:r w:rsidRPr="00E93042">
              <w:rPr>
                <w:rFonts w:ascii="Times New Roman" w:hAnsi="Times New Roman"/>
                <w:b/>
                <w:bCs/>
              </w:rPr>
              <w:t xml:space="preserve">Art. 3 projektu ustawy </w:t>
            </w:r>
            <w:r w:rsidRPr="00E93042">
              <w:rPr>
                <w:rFonts w:ascii="Times New Roman" w:hAnsi="Times New Roman"/>
                <w:color w:val="000000"/>
              </w:rPr>
              <w:t>zawiera propozycję zmiany art. 9 ust. 1 pkt 9 i 10 ustawy z dnia 10 września 2015 r. o zmianie ustawy o niektórych formach popierania budownictwa mieszkaniowego oraz niektórych innych ustaw tak aby maksymalny limit środków budżetu państwa, do wysokości których może zostać zasilony Fundusz Dopłat, przeznaczonych na dopłaty dla BGK do oprocentowania kredytu w ramach realizacji programu SBC wzrósł w 2025 r. do poziomu 129,9 mln zł.</w:t>
            </w:r>
          </w:p>
          <w:p w14:paraId="4ACA972F" w14:textId="77777777" w:rsidR="0050022E" w:rsidRPr="00E93042" w:rsidRDefault="0050022E" w:rsidP="00583C72">
            <w:pPr>
              <w:spacing w:after="120"/>
              <w:jc w:val="both"/>
              <w:rPr>
                <w:rFonts w:ascii="Times New Roman" w:hAnsi="Times New Roman"/>
              </w:rPr>
            </w:pPr>
            <w:r w:rsidRPr="00E93042">
              <w:rPr>
                <w:rFonts w:ascii="Times New Roman" w:hAnsi="Times New Roman"/>
                <w:b/>
                <w:bCs/>
              </w:rPr>
              <w:t xml:space="preserve">Art. projektu 4 ustawy </w:t>
            </w:r>
            <w:r w:rsidRPr="00E93042">
              <w:rPr>
                <w:rFonts w:ascii="Times New Roman" w:hAnsi="Times New Roman"/>
              </w:rPr>
              <w:t>dotyczy przedłużenia programu SBC do roku 2026 r., połączonego z podniesieniem środków BGK udostępnianych na akcję kredytową z aktualnie obowiązującej kwoty 4,5 mld zł (na program realizowany od 2016 r.) do poziomu 6,9 mld zł. Jest to kwota odpowiadająca zgłaszanemu przez inwestorów z programu SBC zapotrzebowaniu na środki zwrotne – pozwoli ona na równomierny rozwój społecznego mieszkalnictwa na wynajem. Proponowane zmiany (zwiększenie akcji kredytowej BGK) skutkują koniecznością zwiększenia limitów środków budżetowych na dopłatę do preferencyjnego oprocentowania dla BGK: w roku 2025 (art. 3 projektu ustawy), w roku 2026 (art. 4 projektu ustawy) oraz w latach 2025-2028 (art. 5 projektu ustawy).</w:t>
            </w:r>
          </w:p>
          <w:p w14:paraId="5916D365" w14:textId="77777777" w:rsidR="0050022E" w:rsidRPr="00E93042" w:rsidRDefault="0050022E" w:rsidP="00583C72">
            <w:pPr>
              <w:spacing w:after="120"/>
              <w:jc w:val="both"/>
              <w:rPr>
                <w:rFonts w:ascii="Times New Roman" w:hAnsi="Times New Roman"/>
                <w:b/>
                <w:bCs/>
              </w:rPr>
            </w:pPr>
            <w:r w:rsidRPr="00E93042">
              <w:rPr>
                <w:rFonts w:ascii="Times New Roman" w:hAnsi="Times New Roman"/>
                <w:b/>
                <w:bCs/>
              </w:rPr>
              <w:t xml:space="preserve">Art. 5 projektu ustawy </w:t>
            </w:r>
            <w:r w:rsidRPr="00E93042">
              <w:rPr>
                <w:rFonts w:ascii="Times New Roman" w:hAnsi="Times New Roman"/>
              </w:rPr>
              <w:t xml:space="preserve">zmienia art. 45 ust. 1 ustawy z dnia 26 maja 2023 r. o pomocy państwa w oszczędzaniu na cele mieszkaniowe (art. 14 projektu ustawy), tak aby maksymalny limit środków budżetu państwa, do wysokości których może zostać zasilony Fundusz Dopłat, przeznaczonych na dopłaty dla BGK do stabilizacji oprocentowania kredytu SBC, </w:t>
            </w:r>
            <w:r w:rsidRPr="00E93042">
              <w:rPr>
                <w:rFonts w:ascii="Times New Roman" w:hAnsi="Times New Roman"/>
                <w:color w:val="000000"/>
              </w:rPr>
              <w:t xml:space="preserve">wyniósł w latach 2026, 2027 i 2028 odpowiednio </w:t>
            </w:r>
            <w:r w:rsidRPr="00E93042">
              <w:rPr>
                <w:rFonts w:ascii="Times New Roman" w:hAnsi="Times New Roman"/>
              </w:rPr>
              <w:t>83,4 mln zł, 167,4 mln zł</w:t>
            </w:r>
            <w:r w:rsidRPr="00E93042">
              <w:rPr>
                <w:rFonts w:ascii="Times New Roman" w:hAnsi="Times New Roman"/>
                <w:color w:val="000000"/>
              </w:rPr>
              <w:t xml:space="preserve"> i </w:t>
            </w:r>
            <w:r w:rsidRPr="00E93042">
              <w:rPr>
                <w:rFonts w:ascii="Times New Roman" w:hAnsi="Times New Roman"/>
              </w:rPr>
              <w:t>69 mln zł</w:t>
            </w:r>
            <w:r w:rsidRPr="00E93042">
              <w:rPr>
                <w:rFonts w:ascii="Times New Roman" w:hAnsi="Times New Roman"/>
                <w:color w:val="000000"/>
              </w:rPr>
              <w:t>.</w:t>
            </w:r>
          </w:p>
        </w:tc>
      </w:tr>
    </w:tbl>
    <w:p w14:paraId="557A892C" w14:textId="77777777" w:rsidR="0050022E" w:rsidRPr="00E93042" w:rsidRDefault="0050022E" w:rsidP="0050022E">
      <w:pPr>
        <w:jc w:val="both"/>
        <w:rPr>
          <w:rFonts w:ascii="Times New Roman" w:hAnsi="Times New Roman"/>
        </w:rPr>
      </w:pPr>
    </w:p>
    <w:p w14:paraId="58ED3FE3" w14:textId="77777777" w:rsidR="0050022E" w:rsidRPr="00E93042" w:rsidRDefault="0050022E" w:rsidP="0050022E">
      <w:pPr>
        <w:jc w:val="both"/>
        <w:rPr>
          <w:rFonts w:ascii="Times New Roman" w:hAnsi="Times New Roman"/>
        </w:rPr>
      </w:pPr>
      <w:r w:rsidRPr="00E93042">
        <w:rPr>
          <w:rFonts w:ascii="Times New Roman" w:hAnsi="Times New Roman"/>
        </w:rPr>
        <w:t xml:space="preserve">[4] Jakie są </w:t>
      </w:r>
      <w:bookmarkStart w:id="4" w:name="_Hlk174443131"/>
      <w:r w:rsidRPr="00E93042">
        <w:rPr>
          <w:rFonts w:ascii="Times New Roman" w:hAnsi="Times New Roman"/>
        </w:rPr>
        <w:t>przewidywane</w:t>
      </w:r>
      <w:bookmarkEnd w:id="4"/>
      <w:r w:rsidRPr="00E93042">
        <w:rPr>
          <w:rFonts w:ascii="Times New Roman" w:hAnsi="Times New Roman"/>
        </w:rPr>
        <w:t xml:space="preserve"> skutki społeczne projektowanych rozwiązań?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2"/>
        <w:gridCol w:w="1356"/>
        <w:gridCol w:w="2268"/>
        <w:gridCol w:w="2976"/>
      </w:tblGrid>
      <w:tr w:rsidR="0050022E" w:rsidRPr="00E93042" w14:paraId="73FD29E4" w14:textId="77777777" w:rsidTr="00583C72">
        <w:trPr>
          <w:trHeight w:val="142"/>
        </w:trPr>
        <w:tc>
          <w:tcPr>
            <w:tcW w:w="2472" w:type="dxa"/>
            <w:shd w:val="clear" w:color="auto" w:fill="auto"/>
          </w:tcPr>
          <w:p w14:paraId="20B8DEAE" w14:textId="77777777" w:rsidR="0050022E" w:rsidRPr="00E93042" w:rsidRDefault="0050022E" w:rsidP="00583C72">
            <w:pPr>
              <w:spacing w:before="40"/>
              <w:jc w:val="center"/>
              <w:rPr>
                <w:rFonts w:ascii="Times New Roman" w:hAnsi="Times New Roman"/>
                <w:b/>
                <w:bCs/>
                <w:color w:val="000000"/>
                <w:spacing w:val="-2"/>
              </w:rPr>
            </w:pPr>
            <w:r w:rsidRPr="00E93042">
              <w:rPr>
                <w:rFonts w:ascii="Times New Roman" w:hAnsi="Times New Roman"/>
                <w:b/>
                <w:bCs/>
                <w:color w:val="000000"/>
                <w:spacing w:val="-2"/>
              </w:rPr>
              <w:t>Grupa społeczna</w:t>
            </w:r>
          </w:p>
        </w:tc>
        <w:tc>
          <w:tcPr>
            <w:tcW w:w="1356" w:type="dxa"/>
            <w:shd w:val="clear" w:color="auto" w:fill="auto"/>
          </w:tcPr>
          <w:p w14:paraId="6F436C4F" w14:textId="77777777" w:rsidR="0050022E" w:rsidRPr="00E93042" w:rsidRDefault="0050022E" w:rsidP="00583C72">
            <w:pPr>
              <w:spacing w:before="40"/>
              <w:jc w:val="center"/>
              <w:rPr>
                <w:rFonts w:ascii="Times New Roman" w:hAnsi="Times New Roman"/>
                <w:b/>
                <w:bCs/>
                <w:color w:val="000000"/>
                <w:spacing w:val="-2"/>
              </w:rPr>
            </w:pPr>
            <w:r w:rsidRPr="00E93042">
              <w:rPr>
                <w:rFonts w:ascii="Times New Roman" w:hAnsi="Times New Roman"/>
                <w:b/>
                <w:bCs/>
                <w:color w:val="000000"/>
                <w:spacing w:val="-2"/>
              </w:rPr>
              <w:t>Wielkość</w:t>
            </w:r>
          </w:p>
        </w:tc>
        <w:tc>
          <w:tcPr>
            <w:tcW w:w="2268" w:type="dxa"/>
            <w:shd w:val="clear" w:color="auto" w:fill="auto"/>
          </w:tcPr>
          <w:p w14:paraId="089F0E42" w14:textId="77777777" w:rsidR="0050022E" w:rsidRPr="00E93042" w:rsidRDefault="0050022E" w:rsidP="00583C72">
            <w:pPr>
              <w:spacing w:before="40"/>
              <w:jc w:val="center"/>
              <w:rPr>
                <w:rFonts w:ascii="Times New Roman" w:hAnsi="Times New Roman"/>
                <w:b/>
                <w:bCs/>
                <w:color w:val="000000"/>
                <w:spacing w:val="-2"/>
              </w:rPr>
            </w:pPr>
            <w:r w:rsidRPr="00E93042">
              <w:rPr>
                <w:rFonts w:ascii="Times New Roman" w:hAnsi="Times New Roman"/>
                <w:b/>
                <w:bCs/>
                <w:color w:val="000000"/>
                <w:spacing w:val="-2"/>
              </w:rPr>
              <w:t>Źródło danych</w:t>
            </w:r>
            <w:r w:rsidRPr="00E93042" w:rsidDel="00260F33">
              <w:rPr>
                <w:rFonts w:ascii="Times New Roman" w:hAnsi="Times New Roman"/>
                <w:b/>
                <w:bCs/>
                <w:color w:val="000000"/>
                <w:spacing w:val="-2"/>
              </w:rPr>
              <w:t xml:space="preserve"> </w:t>
            </w:r>
          </w:p>
        </w:tc>
        <w:tc>
          <w:tcPr>
            <w:tcW w:w="2976" w:type="dxa"/>
            <w:shd w:val="clear" w:color="auto" w:fill="auto"/>
          </w:tcPr>
          <w:p w14:paraId="58F2C1AF" w14:textId="77777777" w:rsidR="0050022E" w:rsidRPr="00E93042" w:rsidRDefault="0050022E" w:rsidP="00583C72">
            <w:pPr>
              <w:spacing w:before="40"/>
              <w:jc w:val="center"/>
              <w:rPr>
                <w:rFonts w:ascii="Times New Roman" w:hAnsi="Times New Roman"/>
                <w:b/>
                <w:bCs/>
                <w:color w:val="000000"/>
                <w:spacing w:val="-2"/>
              </w:rPr>
            </w:pPr>
            <w:r w:rsidRPr="00E93042">
              <w:rPr>
                <w:rFonts w:ascii="Times New Roman" w:hAnsi="Times New Roman"/>
                <w:b/>
                <w:bCs/>
                <w:color w:val="000000"/>
                <w:spacing w:val="-2"/>
              </w:rPr>
              <w:t>Oddziaływanie</w:t>
            </w:r>
          </w:p>
        </w:tc>
      </w:tr>
      <w:tr w:rsidR="0050022E" w:rsidRPr="00E93042" w14:paraId="08886C88" w14:textId="77777777" w:rsidTr="00583C72">
        <w:trPr>
          <w:trHeight w:val="142"/>
        </w:trPr>
        <w:tc>
          <w:tcPr>
            <w:tcW w:w="2472" w:type="dxa"/>
            <w:shd w:val="clear" w:color="auto" w:fill="auto"/>
          </w:tcPr>
          <w:p w14:paraId="523D0F6E" w14:textId="77777777" w:rsidR="0050022E" w:rsidRPr="00E93042" w:rsidRDefault="0050022E" w:rsidP="00583C72">
            <w:pPr>
              <w:spacing w:before="40"/>
              <w:rPr>
                <w:rFonts w:ascii="Times New Roman" w:hAnsi="Times New Roman"/>
                <w:color w:val="000000"/>
                <w:spacing w:val="-2"/>
              </w:rPr>
            </w:pPr>
            <w:r w:rsidRPr="00E93042">
              <w:rPr>
                <w:rFonts w:ascii="Times New Roman" w:hAnsi="Times New Roman"/>
                <w:color w:val="000000"/>
              </w:rPr>
              <w:t>Osoby oczekujące w kolejce na najem lokali mieszkalnych z mieszkaniowego zasobu gminy</w:t>
            </w:r>
          </w:p>
        </w:tc>
        <w:tc>
          <w:tcPr>
            <w:tcW w:w="1356" w:type="dxa"/>
            <w:shd w:val="clear" w:color="auto" w:fill="auto"/>
          </w:tcPr>
          <w:p w14:paraId="0B85D5B1" w14:textId="77777777" w:rsidR="0050022E" w:rsidRPr="00E93042" w:rsidRDefault="0050022E" w:rsidP="00583C72">
            <w:pPr>
              <w:spacing w:before="40"/>
              <w:jc w:val="center"/>
              <w:rPr>
                <w:rFonts w:ascii="Times New Roman" w:hAnsi="Times New Roman"/>
                <w:color w:val="000000"/>
                <w:spacing w:val="-2"/>
              </w:rPr>
            </w:pPr>
            <w:r w:rsidRPr="00E93042">
              <w:rPr>
                <w:rFonts w:ascii="Times New Roman" w:hAnsi="Times New Roman"/>
                <w:color w:val="000000"/>
              </w:rPr>
              <w:t xml:space="preserve">126,3 tys. </w:t>
            </w:r>
            <w:proofErr w:type="spellStart"/>
            <w:r w:rsidRPr="00E93042">
              <w:rPr>
                <w:rFonts w:ascii="Times New Roman" w:hAnsi="Times New Roman"/>
                <w:color w:val="000000"/>
              </w:rPr>
              <w:t>gospo-darstw</w:t>
            </w:r>
            <w:proofErr w:type="spellEnd"/>
            <w:r w:rsidRPr="00E93042">
              <w:rPr>
                <w:rFonts w:ascii="Times New Roman" w:hAnsi="Times New Roman"/>
                <w:color w:val="000000"/>
              </w:rPr>
              <w:t xml:space="preserve"> domowych (wg stanu na </w:t>
            </w:r>
            <w:r w:rsidRPr="00E93042">
              <w:rPr>
                <w:rFonts w:ascii="Times New Roman" w:hAnsi="Times New Roman"/>
                <w:color w:val="000000"/>
              </w:rPr>
              <w:br/>
              <w:t>31.12.2022 roku)</w:t>
            </w:r>
          </w:p>
        </w:tc>
        <w:tc>
          <w:tcPr>
            <w:tcW w:w="2268" w:type="dxa"/>
            <w:shd w:val="clear" w:color="auto" w:fill="auto"/>
          </w:tcPr>
          <w:p w14:paraId="28639BE7" w14:textId="77777777" w:rsidR="0050022E" w:rsidRPr="00E93042" w:rsidRDefault="0050022E" w:rsidP="00583C72">
            <w:pPr>
              <w:spacing w:before="40"/>
              <w:jc w:val="center"/>
              <w:rPr>
                <w:rFonts w:ascii="Times New Roman" w:hAnsi="Times New Roman"/>
                <w:color w:val="000000"/>
                <w:spacing w:val="-2"/>
              </w:rPr>
            </w:pPr>
            <w:r w:rsidRPr="00E93042">
              <w:rPr>
                <w:rFonts w:ascii="Times New Roman" w:hAnsi="Times New Roman"/>
                <w:color w:val="000000"/>
              </w:rPr>
              <w:t>GUS</w:t>
            </w:r>
          </w:p>
        </w:tc>
        <w:tc>
          <w:tcPr>
            <w:tcW w:w="2976" w:type="dxa"/>
            <w:shd w:val="clear" w:color="auto" w:fill="auto"/>
          </w:tcPr>
          <w:p w14:paraId="1060B407" w14:textId="77777777" w:rsidR="0050022E" w:rsidRPr="00E93042" w:rsidRDefault="0050022E" w:rsidP="0050022E">
            <w:pPr>
              <w:pStyle w:val="Akapitzlist"/>
              <w:numPr>
                <w:ilvl w:val="0"/>
                <w:numId w:val="12"/>
              </w:numPr>
              <w:spacing w:line="240" w:lineRule="auto"/>
              <w:rPr>
                <w:rFonts w:ascii="Times New Roman" w:eastAsia="Times New Roman" w:hAnsi="Times New Roman"/>
              </w:rPr>
            </w:pPr>
            <w:r w:rsidRPr="00E93042">
              <w:rPr>
                <w:rFonts w:ascii="Times New Roman" w:eastAsia="Times New Roman" w:hAnsi="Times New Roman"/>
              </w:rPr>
              <w:t>Zaspokojenie potrzeb mieszkaniowych osób o niskich i przeciętnych dochodach oraz zagrożonych wykluczeniem społecznym.</w:t>
            </w:r>
          </w:p>
          <w:p w14:paraId="68E7327A" w14:textId="77777777" w:rsidR="0050022E" w:rsidRPr="00E93042" w:rsidRDefault="0050022E" w:rsidP="00583C72">
            <w:pPr>
              <w:spacing w:line="240" w:lineRule="auto"/>
              <w:rPr>
                <w:rFonts w:ascii="Times New Roman" w:eastAsia="Times New Roman" w:hAnsi="Times New Roman"/>
              </w:rPr>
            </w:pPr>
          </w:p>
        </w:tc>
      </w:tr>
      <w:tr w:rsidR="0050022E" w:rsidRPr="00E93042" w14:paraId="232DE470" w14:textId="77777777" w:rsidTr="00583C72">
        <w:trPr>
          <w:trHeight w:val="1127"/>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74B85AB2" w14:textId="77777777" w:rsidR="0050022E" w:rsidRPr="00E93042" w:rsidRDefault="0050022E" w:rsidP="00583C72">
            <w:pPr>
              <w:spacing w:before="40"/>
              <w:rPr>
                <w:rFonts w:ascii="Times New Roman" w:hAnsi="Times New Roman"/>
              </w:rPr>
            </w:pPr>
            <w:r w:rsidRPr="00E93042">
              <w:rPr>
                <w:rFonts w:ascii="Times New Roman" w:hAnsi="Times New Roman"/>
              </w:rPr>
              <w:t>Studentki i studenci</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5F7C4ED5" w14:textId="77777777" w:rsidR="0050022E" w:rsidRPr="00E93042" w:rsidRDefault="0050022E" w:rsidP="00583C72">
            <w:pPr>
              <w:jc w:val="center"/>
              <w:rPr>
                <w:rFonts w:ascii="Times New Roman" w:eastAsia="Times New Roman" w:hAnsi="Times New Roman"/>
              </w:rPr>
            </w:pPr>
            <w:r w:rsidRPr="00E93042">
              <w:rPr>
                <w:rFonts w:ascii="Times New Roman" w:hAnsi="Times New Roman"/>
              </w:rPr>
              <w:t>1 223,6 tys.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E91812" w14:textId="77777777" w:rsidR="0050022E" w:rsidRPr="00E93042" w:rsidRDefault="0050022E" w:rsidP="00583C72">
            <w:pPr>
              <w:spacing w:before="120" w:after="120" w:line="240" w:lineRule="auto"/>
              <w:jc w:val="center"/>
              <w:rPr>
                <w:rFonts w:ascii="Times New Roman" w:eastAsia="Times New Roman" w:hAnsi="Times New Roman"/>
              </w:rPr>
            </w:pPr>
            <w:r w:rsidRPr="00E93042">
              <w:rPr>
                <w:rFonts w:ascii="Times New Roman" w:hAnsi="Times New Roman"/>
              </w:rPr>
              <w:t xml:space="preserve"> Zintegrowany System Informacji o Szkolnictwie Wyższym i Nauce Pol-on</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F4D4A73" w14:textId="77777777" w:rsidR="0050022E" w:rsidRPr="00E93042" w:rsidRDefault="0050022E" w:rsidP="0050022E">
            <w:pPr>
              <w:pStyle w:val="Akapitzlist"/>
              <w:numPr>
                <w:ilvl w:val="0"/>
                <w:numId w:val="12"/>
              </w:numPr>
              <w:spacing w:before="120" w:after="120" w:line="240" w:lineRule="auto"/>
              <w:rPr>
                <w:rFonts w:ascii="Times New Roman" w:eastAsia="Times New Roman" w:hAnsi="Times New Roman"/>
              </w:rPr>
            </w:pPr>
            <w:r w:rsidRPr="00E93042">
              <w:rPr>
                <w:rFonts w:ascii="Times New Roman" w:hAnsi="Times New Roman"/>
              </w:rPr>
              <w:t>Zaspokojenie potrzeb mieszkaniowych w związku z odbywanym procesem kształcenia.</w:t>
            </w:r>
          </w:p>
        </w:tc>
      </w:tr>
    </w:tbl>
    <w:p w14:paraId="32A15B2E" w14:textId="77777777" w:rsidR="0050022E" w:rsidRPr="00E93042" w:rsidRDefault="0050022E" w:rsidP="0050022E">
      <w:pPr>
        <w:jc w:val="both"/>
        <w:rPr>
          <w:rFonts w:ascii="Times New Roman" w:hAnsi="Times New Roman"/>
        </w:rPr>
      </w:pPr>
    </w:p>
    <w:p w14:paraId="7333B9EA" w14:textId="77777777" w:rsidR="0050022E" w:rsidRPr="00E93042" w:rsidRDefault="0050022E" w:rsidP="0050022E">
      <w:pPr>
        <w:jc w:val="both"/>
        <w:rPr>
          <w:rFonts w:ascii="Times New Roman" w:hAnsi="Times New Roman"/>
        </w:rPr>
      </w:pPr>
    </w:p>
    <w:p w14:paraId="22704DC8" w14:textId="77777777" w:rsidR="0050022E" w:rsidRPr="00E93042" w:rsidRDefault="0050022E" w:rsidP="0050022E">
      <w:pPr>
        <w:jc w:val="both"/>
        <w:rPr>
          <w:rFonts w:ascii="Times New Roman" w:hAnsi="Times New Roman"/>
        </w:rPr>
      </w:pPr>
    </w:p>
    <w:p w14:paraId="4964AA3A" w14:textId="77777777" w:rsidR="0050022E" w:rsidRPr="00E93042" w:rsidRDefault="0050022E" w:rsidP="0050022E">
      <w:pPr>
        <w:jc w:val="both"/>
        <w:rPr>
          <w:rFonts w:ascii="Times New Roman" w:hAnsi="Times New Roman"/>
        </w:rPr>
      </w:pPr>
    </w:p>
    <w:p w14:paraId="35E3523B" w14:textId="77777777" w:rsidR="0050022E" w:rsidRPr="00E93042" w:rsidRDefault="0050022E" w:rsidP="0050022E">
      <w:pPr>
        <w:jc w:val="both"/>
        <w:rPr>
          <w:rFonts w:ascii="Times New Roman" w:hAnsi="Times New Roman"/>
        </w:rPr>
      </w:pPr>
      <w:r w:rsidRPr="00E93042">
        <w:rPr>
          <w:rFonts w:ascii="Times New Roman" w:hAnsi="Times New Roman"/>
        </w:rPr>
        <w:t>[5] Jakie są przewidywane skutki gospodarcze projektowanych rozwiązań?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2"/>
        <w:gridCol w:w="1639"/>
        <w:gridCol w:w="1985"/>
        <w:gridCol w:w="2976"/>
      </w:tblGrid>
      <w:tr w:rsidR="0050022E" w:rsidRPr="00E93042" w14:paraId="3102B2F1" w14:textId="77777777" w:rsidTr="00583C72">
        <w:trPr>
          <w:trHeight w:val="142"/>
        </w:trPr>
        <w:tc>
          <w:tcPr>
            <w:tcW w:w="2472" w:type="dxa"/>
            <w:shd w:val="clear" w:color="auto" w:fill="auto"/>
          </w:tcPr>
          <w:p w14:paraId="6CD66F22" w14:textId="77777777" w:rsidR="0050022E" w:rsidRPr="00E93042" w:rsidRDefault="0050022E" w:rsidP="00583C72">
            <w:pPr>
              <w:spacing w:before="40"/>
              <w:jc w:val="center"/>
              <w:rPr>
                <w:rFonts w:ascii="Times New Roman" w:hAnsi="Times New Roman"/>
                <w:b/>
                <w:bCs/>
                <w:color w:val="000000"/>
                <w:spacing w:val="-2"/>
              </w:rPr>
            </w:pPr>
            <w:r w:rsidRPr="00E93042">
              <w:rPr>
                <w:rFonts w:ascii="Times New Roman" w:hAnsi="Times New Roman"/>
                <w:b/>
                <w:bCs/>
                <w:color w:val="000000"/>
                <w:spacing w:val="-2"/>
              </w:rPr>
              <w:t xml:space="preserve">Grupa podmiotów </w:t>
            </w:r>
          </w:p>
        </w:tc>
        <w:tc>
          <w:tcPr>
            <w:tcW w:w="1639" w:type="dxa"/>
            <w:shd w:val="clear" w:color="auto" w:fill="auto"/>
          </w:tcPr>
          <w:p w14:paraId="7972530D" w14:textId="77777777" w:rsidR="0050022E" w:rsidRPr="00E93042" w:rsidRDefault="0050022E" w:rsidP="00583C72">
            <w:pPr>
              <w:spacing w:before="40"/>
              <w:jc w:val="center"/>
              <w:rPr>
                <w:rFonts w:ascii="Times New Roman" w:hAnsi="Times New Roman"/>
                <w:b/>
                <w:bCs/>
                <w:color w:val="000000"/>
                <w:spacing w:val="-2"/>
              </w:rPr>
            </w:pPr>
            <w:r w:rsidRPr="00E93042">
              <w:rPr>
                <w:rFonts w:ascii="Times New Roman" w:hAnsi="Times New Roman"/>
                <w:b/>
                <w:bCs/>
                <w:color w:val="000000"/>
                <w:spacing w:val="-2"/>
              </w:rPr>
              <w:t>Wielkość</w:t>
            </w:r>
          </w:p>
        </w:tc>
        <w:tc>
          <w:tcPr>
            <w:tcW w:w="1985" w:type="dxa"/>
            <w:shd w:val="clear" w:color="auto" w:fill="auto"/>
          </w:tcPr>
          <w:p w14:paraId="31E9028C" w14:textId="77777777" w:rsidR="0050022E" w:rsidRPr="00E93042" w:rsidRDefault="0050022E" w:rsidP="00583C72">
            <w:pPr>
              <w:spacing w:before="40"/>
              <w:jc w:val="center"/>
              <w:rPr>
                <w:rFonts w:ascii="Times New Roman" w:hAnsi="Times New Roman"/>
                <w:b/>
                <w:bCs/>
                <w:color w:val="000000"/>
                <w:spacing w:val="-2"/>
              </w:rPr>
            </w:pPr>
            <w:r w:rsidRPr="00E93042">
              <w:rPr>
                <w:rFonts w:ascii="Times New Roman" w:hAnsi="Times New Roman"/>
                <w:b/>
                <w:bCs/>
                <w:color w:val="000000"/>
                <w:spacing w:val="-2"/>
              </w:rPr>
              <w:t>Źródło danych</w:t>
            </w:r>
            <w:r w:rsidRPr="00E93042" w:rsidDel="00260F33">
              <w:rPr>
                <w:rFonts w:ascii="Times New Roman" w:hAnsi="Times New Roman"/>
                <w:b/>
                <w:bCs/>
                <w:color w:val="000000"/>
                <w:spacing w:val="-2"/>
              </w:rPr>
              <w:t xml:space="preserve"> </w:t>
            </w:r>
          </w:p>
        </w:tc>
        <w:tc>
          <w:tcPr>
            <w:tcW w:w="2976" w:type="dxa"/>
            <w:shd w:val="clear" w:color="auto" w:fill="auto"/>
          </w:tcPr>
          <w:p w14:paraId="53139331" w14:textId="77777777" w:rsidR="0050022E" w:rsidRPr="00E93042" w:rsidRDefault="0050022E" w:rsidP="00583C72">
            <w:pPr>
              <w:spacing w:before="40"/>
              <w:jc w:val="center"/>
              <w:rPr>
                <w:rFonts w:ascii="Times New Roman" w:hAnsi="Times New Roman"/>
                <w:b/>
                <w:bCs/>
                <w:color w:val="000000"/>
                <w:spacing w:val="-2"/>
              </w:rPr>
            </w:pPr>
            <w:r w:rsidRPr="00E93042">
              <w:rPr>
                <w:rFonts w:ascii="Times New Roman" w:hAnsi="Times New Roman"/>
                <w:b/>
                <w:bCs/>
                <w:color w:val="000000"/>
                <w:spacing w:val="-2"/>
              </w:rPr>
              <w:t>Oddziaływanie</w:t>
            </w:r>
          </w:p>
        </w:tc>
      </w:tr>
      <w:tr w:rsidR="0050022E" w:rsidRPr="00E93042" w14:paraId="4FC0A67A" w14:textId="77777777" w:rsidTr="00583C72">
        <w:trPr>
          <w:trHeight w:val="142"/>
        </w:trPr>
        <w:tc>
          <w:tcPr>
            <w:tcW w:w="2472" w:type="dxa"/>
            <w:shd w:val="clear" w:color="auto" w:fill="auto"/>
          </w:tcPr>
          <w:p w14:paraId="4F978FDB" w14:textId="77777777" w:rsidR="0050022E" w:rsidRPr="00E93042" w:rsidRDefault="0050022E" w:rsidP="00583C72">
            <w:pPr>
              <w:spacing w:before="40"/>
              <w:rPr>
                <w:rFonts w:ascii="Times New Roman" w:hAnsi="Times New Roman"/>
                <w:color w:val="000000"/>
                <w:spacing w:val="-2"/>
              </w:rPr>
            </w:pPr>
            <w:r w:rsidRPr="00E93042">
              <w:rPr>
                <w:rFonts w:ascii="Times New Roman" w:hAnsi="Times New Roman"/>
                <w:color w:val="000000"/>
              </w:rPr>
              <w:t>Gminy</w:t>
            </w:r>
          </w:p>
        </w:tc>
        <w:tc>
          <w:tcPr>
            <w:tcW w:w="1639" w:type="dxa"/>
            <w:shd w:val="clear" w:color="auto" w:fill="auto"/>
          </w:tcPr>
          <w:p w14:paraId="0476A944" w14:textId="77777777" w:rsidR="0050022E" w:rsidRPr="00E93042" w:rsidRDefault="0050022E" w:rsidP="00583C72">
            <w:pPr>
              <w:spacing w:before="40"/>
              <w:jc w:val="center"/>
              <w:rPr>
                <w:rFonts w:ascii="Times New Roman" w:hAnsi="Times New Roman"/>
                <w:color w:val="000000"/>
                <w:spacing w:val="-2"/>
              </w:rPr>
            </w:pPr>
            <w:r w:rsidRPr="00E93042">
              <w:rPr>
                <w:rFonts w:ascii="Times New Roman" w:hAnsi="Times New Roman"/>
                <w:color w:val="000000"/>
                <w:spacing w:val="-2"/>
              </w:rPr>
              <w:t>2477</w:t>
            </w:r>
          </w:p>
        </w:tc>
        <w:tc>
          <w:tcPr>
            <w:tcW w:w="1985" w:type="dxa"/>
            <w:shd w:val="clear" w:color="auto" w:fill="auto"/>
          </w:tcPr>
          <w:p w14:paraId="57484DF9" w14:textId="77777777" w:rsidR="0050022E" w:rsidRPr="00E93042" w:rsidRDefault="0050022E" w:rsidP="00583C72">
            <w:pPr>
              <w:spacing w:before="40"/>
              <w:jc w:val="center"/>
              <w:rPr>
                <w:rFonts w:ascii="Times New Roman" w:hAnsi="Times New Roman"/>
                <w:color w:val="000000"/>
                <w:spacing w:val="-2"/>
              </w:rPr>
            </w:pPr>
            <w:r w:rsidRPr="00E93042">
              <w:rPr>
                <w:rFonts w:ascii="Times New Roman" w:hAnsi="Times New Roman"/>
                <w:color w:val="000000"/>
              </w:rPr>
              <w:t>Ministerstwo Spraw Wewnętrznych i Administracji (MSWiA)</w:t>
            </w:r>
          </w:p>
        </w:tc>
        <w:tc>
          <w:tcPr>
            <w:tcW w:w="2976" w:type="dxa"/>
            <w:shd w:val="clear" w:color="auto" w:fill="auto"/>
          </w:tcPr>
          <w:p w14:paraId="0BE4331C" w14:textId="77777777" w:rsidR="0050022E" w:rsidRPr="00E93042" w:rsidRDefault="0050022E" w:rsidP="0050022E">
            <w:pPr>
              <w:pStyle w:val="Akapitzlist"/>
              <w:numPr>
                <w:ilvl w:val="0"/>
                <w:numId w:val="11"/>
              </w:numPr>
              <w:spacing w:before="120" w:after="120" w:line="240" w:lineRule="auto"/>
              <w:rPr>
                <w:rFonts w:ascii="Times New Roman" w:eastAsia="Times New Roman" w:hAnsi="Times New Roman"/>
              </w:rPr>
            </w:pPr>
            <w:r w:rsidRPr="00E93042">
              <w:rPr>
                <w:rFonts w:ascii="Times New Roman" w:eastAsia="Times New Roman" w:hAnsi="Times New Roman"/>
              </w:rPr>
              <w:t xml:space="preserve">Możliwość wykorzystania proponowanych rozwiązań do zwiększenia zasobu mieszkaniowego służącego realizacji zadań własnych gminy bez konieczności angażowania dodatkowych środków finansowych na realizację inwestycji mieszkaniowych. </w:t>
            </w:r>
          </w:p>
          <w:p w14:paraId="4C8970FE" w14:textId="77777777" w:rsidR="0050022E" w:rsidRPr="00E93042" w:rsidRDefault="0050022E" w:rsidP="0050022E">
            <w:pPr>
              <w:pStyle w:val="Akapitzlist"/>
              <w:numPr>
                <w:ilvl w:val="0"/>
                <w:numId w:val="11"/>
              </w:numPr>
              <w:spacing w:before="120" w:after="120" w:line="240" w:lineRule="auto"/>
              <w:rPr>
                <w:rFonts w:ascii="Times New Roman" w:eastAsia="Times New Roman" w:hAnsi="Times New Roman"/>
              </w:rPr>
            </w:pPr>
            <w:r w:rsidRPr="00E93042">
              <w:rPr>
                <w:rFonts w:ascii="Times New Roman" w:eastAsia="Times New Roman" w:hAnsi="Times New Roman"/>
              </w:rPr>
              <w:t>Możliwość ustalenia minimalnego współczynnika liczby miejsc postojowych przewidzianych do realizacji w ramach inwestycji mieszkaniowej zgodnie z lokalnymi uwarunkowaniami.</w:t>
            </w:r>
          </w:p>
        </w:tc>
      </w:tr>
      <w:tr w:rsidR="0050022E" w:rsidRPr="00E93042" w14:paraId="6A770D6A"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2CBF66DF" w14:textId="77777777" w:rsidR="0050022E" w:rsidRPr="00E93042" w:rsidRDefault="0050022E" w:rsidP="00583C72">
            <w:pPr>
              <w:spacing w:before="40"/>
              <w:rPr>
                <w:rFonts w:ascii="Times New Roman" w:hAnsi="Times New Roman"/>
                <w:color w:val="000000"/>
              </w:rPr>
            </w:pPr>
            <w:r w:rsidRPr="00E93042">
              <w:rPr>
                <w:rFonts w:ascii="Times New Roman" w:hAnsi="Times New Roman"/>
                <w:color w:val="000000"/>
              </w:rPr>
              <w:t>Powiaty</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45DA369A" w14:textId="77777777" w:rsidR="0050022E" w:rsidRPr="00E93042" w:rsidRDefault="0050022E" w:rsidP="00583C72">
            <w:pPr>
              <w:spacing w:before="40"/>
              <w:jc w:val="center"/>
              <w:rPr>
                <w:rFonts w:ascii="Times New Roman" w:hAnsi="Times New Roman"/>
                <w:color w:val="000000"/>
                <w:spacing w:val="-2"/>
              </w:rPr>
            </w:pPr>
            <w:r w:rsidRPr="00E93042">
              <w:rPr>
                <w:rFonts w:ascii="Times New Roman" w:hAnsi="Times New Roman"/>
                <w:color w:val="000000"/>
                <w:spacing w:val="-2"/>
              </w:rPr>
              <w:t>314 powiatów i 66 miast na prawach powiatu</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6D979F" w14:textId="77777777" w:rsidR="0050022E" w:rsidRPr="00E93042" w:rsidRDefault="0050022E" w:rsidP="00583C72">
            <w:pPr>
              <w:spacing w:before="40"/>
              <w:jc w:val="center"/>
              <w:rPr>
                <w:rFonts w:ascii="Times New Roman" w:hAnsi="Times New Roman"/>
                <w:color w:val="000000"/>
              </w:rPr>
            </w:pPr>
            <w:r w:rsidRPr="00E93042">
              <w:rPr>
                <w:rFonts w:ascii="Times New Roman" w:hAnsi="Times New Roman"/>
                <w:color w:val="000000"/>
              </w:rPr>
              <w:t>MSWiA</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A5E9B43" w14:textId="77777777" w:rsidR="0050022E" w:rsidRPr="00E93042" w:rsidRDefault="0050022E" w:rsidP="0050022E">
            <w:pPr>
              <w:pStyle w:val="Akapitzlist"/>
              <w:numPr>
                <w:ilvl w:val="0"/>
                <w:numId w:val="11"/>
              </w:numPr>
              <w:spacing w:line="240" w:lineRule="auto"/>
              <w:rPr>
                <w:rFonts w:ascii="Times New Roman" w:hAnsi="Times New Roman"/>
                <w:spacing w:val="-2"/>
              </w:rPr>
            </w:pPr>
            <w:r w:rsidRPr="00E93042">
              <w:rPr>
                <w:rFonts w:ascii="Times New Roman" w:eastAsia="Times New Roman" w:hAnsi="Times New Roman"/>
              </w:rPr>
              <w:t>Możliwość wykorzystania proponowanych rozwiązań do zwiększenia zasobu mieszkaniowego służącego realizacji zadań własnych bez konieczności angażowania dodatkowych środków finansowych na realizację inwestycji mieszkaniowych.</w:t>
            </w:r>
          </w:p>
        </w:tc>
      </w:tr>
      <w:tr w:rsidR="0050022E" w:rsidRPr="00E93042" w14:paraId="5382CFA2"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744A7E8F" w14:textId="77777777" w:rsidR="0050022E" w:rsidRPr="00E93042" w:rsidRDefault="0050022E" w:rsidP="00583C72">
            <w:pPr>
              <w:spacing w:before="40"/>
              <w:rPr>
                <w:rFonts w:ascii="Times New Roman" w:hAnsi="Times New Roman"/>
                <w:color w:val="000000"/>
              </w:rPr>
            </w:pPr>
            <w:r w:rsidRPr="00E93042">
              <w:rPr>
                <w:rFonts w:ascii="Times New Roman" w:hAnsi="Times New Roman"/>
                <w:color w:val="000000"/>
              </w:rPr>
              <w:t>Związki międzygminne</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68E63918" w14:textId="77777777" w:rsidR="0050022E" w:rsidRPr="00E93042" w:rsidRDefault="0050022E" w:rsidP="00583C72">
            <w:pPr>
              <w:spacing w:before="40"/>
              <w:jc w:val="center"/>
              <w:rPr>
                <w:rFonts w:ascii="Times New Roman" w:hAnsi="Times New Roman"/>
                <w:color w:val="000000"/>
                <w:spacing w:val="-2"/>
              </w:rPr>
            </w:pPr>
            <w:r w:rsidRPr="00E93042">
              <w:rPr>
                <w:rFonts w:ascii="Times New Roman" w:hAnsi="Times New Roman"/>
                <w:color w:val="000000"/>
                <w:spacing w:val="-2"/>
              </w:rPr>
              <w:t>197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294561" w14:textId="77777777" w:rsidR="0050022E" w:rsidRPr="00E93042" w:rsidRDefault="0050022E" w:rsidP="00583C72">
            <w:pPr>
              <w:spacing w:before="40"/>
              <w:jc w:val="center"/>
              <w:rPr>
                <w:rFonts w:ascii="Times New Roman" w:hAnsi="Times New Roman"/>
                <w:color w:val="000000"/>
              </w:rPr>
            </w:pPr>
            <w:r w:rsidRPr="00E93042">
              <w:rPr>
                <w:rFonts w:ascii="Times New Roman" w:hAnsi="Times New Roman"/>
                <w:color w:val="000000"/>
              </w:rPr>
              <w:t>MSWiA</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1577726" w14:textId="77777777" w:rsidR="0050022E" w:rsidRPr="00E93042" w:rsidRDefault="0050022E" w:rsidP="0050022E">
            <w:pPr>
              <w:pStyle w:val="Akapitzlist"/>
              <w:numPr>
                <w:ilvl w:val="0"/>
                <w:numId w:val="11"/>
              </w:numPr>
              <w:spacing w:line="240" w:lineRule="auto"/>
              <w:rPr>
                <w:rFonts w:ascii="Times New Roman" w:hAnsi="Times New Roman"/>
                <w:spacing w:val="-2"/>
              </w:rPr>
            </w:pPr>
            <w:r w:rsidRPr="00E93042">
              <w:rPr>
                <w:rFonts w:ascii="Times New Roman" w:eastAsia="Times New Roman" w:hAnsi="Times New Roman"/>
              </w:rPr>
              <w:t>Możliwość wykorzystania proponowanych rozwiązań do zwiększenia zasobu mieszkaniowego służącego realizacji zadań własnych gminy bez konieczności angażowania dodatkowych środków finansowych na realizację inwestycji mieszkaniowych.</w:t>
            </w:r>
          </w:p>
        </w:tc>
      </w:tr>
      <w:tr w:rsidR="0050022E" w:rsidRPr="00E93042" w14:paraId="10646489" w14:textId="77777777" w:rsidTr="00583C72">
        <w:trPr>
          <w:trHeight w:val="142"/>
        </w:trPr>
        <w:tc>
          <w:tcPr>
            <w:tcW w:w="2472" w:type="dxa"/>
            <w:shd w:val="clear" w:color="auto" w:fill="auto"/>
          </w:tcPr>
          <w:p w14:paraId="5C646A18" w14:textId="77777777" w:rsidR="0050022E" w:rsidRPr="00E93042" w:rsidRDefault="0050022E" w:rsidP="00583C72">
            <w:pPr>
              <w:spacing w:before="40"/>
              <w:rPr>
                <w:rFonts w:ascii="Times New Roman" w:hAnsi="Times New Roman"/>
                <w:color w:val="000000"/>
                <w:spacing w:val="-2"/>
              </w:rPr>
            </w:pPr>
            <w:r w:rsidRPr="00E93042">
              <w:rPr>
                <w:rFonts w:ascii="Times New Roman" w:hAnsi="Times New Roman"/>
                <w:color w:val="000000"/>
              </w:rPr>
              <w:t xml:space="preserve">Spółki gminne </w:t>
            </w:r>
          </w:p>
        </w:tc>
        <w:tc>
          <w:tcPr>
            <w:tcW w:w="1639" w:type="dxa"/>
            <w:shd w:val="clear" w:color="auto" w:fill="auto"/>
          </w:tcPr>
          <w:p w14:paraId="1346F84F" w14:textId="77777777" w:rsidR="0050022E" w:rsidRPr="00E93042" w:rsidRDefault="0050022E" w:rsidP="00583C72">
            <w:pPr>
              <w:spacing w:before="40"/>
              <w:jc w:val="center"/>
              <w:rPr>
                <w:rFonts w:ascii="Times New Roman" w:hAnsi="Times New Roman"/>
                <w:color w:val="000000"/>
                <w:spacing w:val="-2"/>
              </w:rPr>
            </w:pPr>
            <w:r w:rsidRPr="00E93042">
              <w:rPr>
                <w:rFonts w:ascii="Times New Roman" w:hAnsi="Times New Roman"/>
                <w:color w:val="000000"/>
              </w:rPr>
              <w:t xml:space="preserve">brak danych, z uwagi na fakt, że nie są prowadzone szczegółowe </w:t>
            </w:r>
            <w:r w:rsidRPr="00E93042">
              <w:rPr>
                <w:rFonts w:ascii="Times New Roman" w:hAnsi="Times New Roman"/>
                <w:color w:val="000000"/>
              </w:rPr>
              <w:lastRenderedPageBreak/>
              <w:t>statystyki w tym zakresie</w:t>
            </w:r>
          </w:p>
        </w:tc>
        <w:tc>
          <w:tcPr>
            <w:tcW w:w="1985" w:type="dxa"/>
            <w:shd w:val="clear" w:color="auto" w:fill="auto"/>
          </w:tcPr>
          <w:p w14:paraId="24B09D28" w14:textId="77777777" w:rsidR="0050022E" w:rsidRPr="00E93042" w:rsidRDefault="0050022E" w:rsidP="00583C72">
            <w:pPr>
              <w:spacing w:before="40"/>
              <w:jc w:val="center"/>
              <w:rPr>
                <w:rFonts w:ascii="Times New Roman" w:hAnsi="Times New Roman"/>
                <w:color w:val="000000"/>
                <w:spacing w:val="-2"/>
              </w:rPr>
            </w:pPr>
            <w:r w:rsidRPr="00E93042">
              <w:rPr>
                <w:rFonts w:ascii="Times New Roman" w:hAnsi="Times New Roman"/>
                <w:color w:val="000000"/>
              </w:rPr>
              <w:lastRenderedPageBreak/>
              <w:t>MSWiA</w:t>
            </w:r>
          </w:p>
        </w:tc>
        <w:tc>
          <w:tcPr>
            <w:tcW w:w="2976" w:type="dxa"/>
            <w:shd w:val="clear" w:color="auto" w:fill="auto"/>
          </w:tcPr>
          <w:p w14:paraId="2689D2B0" w14:textId="77777777" w:rsidR="0050022E" w:rsidRPr="00E93042" w:rsidRDefault="0050022E" w:rsidP="0050022E">
            <w:pPr>
              <w:pStyle w:val="Akapitzlist"/>
              <w:numPr>
                <w:ilvl w:val="0"/>
                <w:numId w:val="11"/>
              </w:numPr>
              <w:spacing w:before="120" w:after="120" w:line="240" w:lineRule="auto"/>
              <w:rPr>
                <w:rFonts w:ascii="Times New Roman" w:eastAsia="Times New Roman" w:hAnsi="Times New Roman"/>
              </w:rPr>
            </w:pPr>
            <w:r w:rsidRPr="00E93042">
              <w:rPr>
                <w:rFonts w:ascii="Times New Roman" w:eastAsia="Times New Roman" w:hAnsi="Times New Roman"/>
              </w:rPr>
              <w:t xml:space="preserve">Możliwość wykorzystania proponowanych rozwiązań do zwiększenia zasobu mieszkaniowego służącego realizacji zadań </w:t>
            </w:r>
            <w:r w:rsidRPr="00E93042">
              <w:rPr>
                <w:rFonts w:ascii="Times New Roman" w:eastAsia="Times New Roman" w:hAnsi="Times New Roman"/>
              </w:rPr>
              <w:lastRenderedPageBreak/>
              <w:t>własnych gminy bez konieczności angażowania dodatkowych środków finansowych na realizację inwestycji mieszkaniowych.</w:t>
            </w:r>
          </w:p>
        </w:tc>
      </w:tr>
      <w:tr w:rsidR="0050022E" w:rsidRPr="00E93042" w14:paraId="04E1FC20"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767190E4" w14:textId="77777777" w:rsidR="0050022E" w:rsidRPr="00E93042" w:rsidRDefault="0050022E" w:rsidP="00583C72">
            <w:pPr>
              <w:spacing w:before="120" w:after="120" w:line="240" w:lineRule="auto"/>
              <w:rPr>
                <w:rFonts w:ascii="Times New Roman" w:eastAsia="Times New Roman" w:hAnsi="Times New Roman"/>
              </w:rPr>
            </w:pPr>
            <w:r w:rsidRPr="00E93042">
              <w:rPr>
                <w:rFonts w:ascii="Times New Roman" w:eastAsia="Times New Roman" w:hAnsi="Times New Roman"/>
              </w:rPr>
              <w:lastRenderedPageBreak/>
              <w:t>TBS/SIM</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7DD072B6" w14:textId="77777777" w:rsidR="0050022E" w:rsidRPr="00E93042" w:rsidRDefault="0050022E" w:rsidP="00583C72">
            <w:pPr>
              <w:spacing w:before="120" w:after="120" w:line="240" w:lineRule="auto"/>
              <w:jc w:val="center"/>
              <w:rPr>
                <w:rFonts w:ascii="Times New Roman" w:eastAsia="Times New Roman" w:hAnsi="Times New Roman"/>
              </w:rPr>
            </w:pPr>
            <w:r w:rsidRPr="00E93042">
              <w:rPr>
                <w:rFonts w:ascii="Times New Roman" w:eastAsia="Times New Roman" w:hAnsi="Times New Roman"/>
              </w:rPr>
              <w:t>242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CDA1EF" w14:textId="77777777" w:rsidR="0050022E" w:rsidRPr="00E93042" w:rsidRDefault="0050022E" w:rsidP="00583C72">
            <w:pPr>
              <w:spacing w:before="120" w:after="120" w:line="240" w:lineRule="auto"/>
              <w:jc w:val="center"/>
              <w:rPr>
                <w:rFonts w:ascii="Times New Roman" w:eastAsia="Times New Roman" w:hAnsi="Times New Roman"/>
              </w:rPr>
            </w:pPr>
            <w:proofErr w:type="spellStart"/>
            <w:r w:rsidRPr="00E93042">
              <w:rPr>
                <w:rFonts w:ascii="Times New Roman" w:eastAsia="Times New Roman" w:hAnsi="Times New Roman"/>
              </w:rPr>
              <w:t>MRiT</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BCA245E" w14:textId="77777777" w:rsidR="0050022E" w:rsidRPr="00E93042" w:rsidRDefault="0050022E" w:rsidP="0050022E">
            <w:pPr>
              <w:pStyle w:val="Akapitzlist"/>
              <w:numPr>
                <w:ilvl w:val="0"/>
                <w:numId w:val="11"/>
              </w:numPr>
              <w:spacing w:before="120" w:after="120" w:line="240" w:lineRule="auto"/>
              <w:rPr>
                <w:rFonts w:ascii="Times New Roman" w:eastAsia="Times New Roman" w:hAnsi="Times New Roman"/>
              </w:rPr>
            </w:pPr>
            <w:r w:rsidRPr="00E93042">
              <w:rPr>
                <w:rFonts w:ascii="Times New Roman" w:eastAsia="Times New Roman" w:hAnsi="Times New Roman"/>
              </w:rPr>
              <w:t>Możliwość wykorzystania proponowanych rozwiązań do zwiększenia zasobu mieszkaniowego służącego realizacji zadań własnych gminy bez konieczności angażowania dodatkowych środków finansowych na realizację inwestycji mieszkaniowych.</w:t>
            </w:r>
          </w:p>
        </w:tc>
      </w:tr>
      <w:tr w:rsidR="0050022E" w:rsidRPr="00E93042" w14:paraId="7C112BBB"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6C920029" w14:textId="77777777" w:rsidR="0050022E" w:rsidRPr="00E93042" w:rsidRDefault="0050022E" w:rsidP="00583C72">
            <w:pPr>
              <w:spacing w:before="120" w:line="240" w:lineRule="auto"/>
              <w:ind w:firstLine="3"/>
              <w:rPr>
                <w:rFonts w:ascii="Times New Roman" w:eastAsia="Times New Roman" w:hAnsi="Times New Roman"/>
              </w:rPr>
            </w:pPr>
            <w:r w:rsidRPr="00E93042">
              <w:rPr>
                <w:rFonts w:ascii="Times New Roman" w:eastAsia="Times New Roman" w:hAnsi="Times New Roman"/>
              </w:rPr>
              <w:t>Spółdzielnie mieszkaniowe</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381D0900" w14:textId="77777777" w:rsidR="0050022E" w:rsidRPr="00E93042" w:rsidRDefault="0050022E" w:rsidP="00583C72">
            <w:pPr>
              <w:spacing w:before="120" w:after="120" w:line="240" w:lineRule="auto"/>
              <w:jc w:val="center"/>
              <w:rPr>
                <w:rFonts w:ascii="Times New Roman" w:eastAsia="Times New Roman" w:hAnsi="Times New Roman"/>
              </w:rPr>
            </w:pPr>
            <w:r w:rsidRPr="00E93042">
              <w:rPr>
                <w:rFonts w:ascii="Times New Roman" w:eastAsia="Times New Roman" w:hAnsi="Times New Roman"/>
              </w:rPr>
              <w:t xml:space="preserve">ok. 2,2 tys. spółdzielni </w:t>
            </w:r>
            <w:proofErr w:type="spellStart"/>
            <w:r w:rsidRPr="00E93042">
              <w:rPr>
                <w:rFonts w:ascii="Times New Roman" w:eastAsia="Times New Roman" w:hAnsi="Times New Roman"/>
              </w:rPr>
              <w:t>mieszkanio-wych</w:t>
            </w:r>
            <w:proofErr w:type="spellEnd"/>
            <w:r w:rsidRPr="00E93042">
              <w:rPr>
                <w:rFonts w:ascii="Times New Roman" w:eastAsia="Times New Roman" w:hAnsi="Times New Roman"/>
              </w:rPr>
              <w:t xml:space="preserve"> prowadzących zgodnie z systemem REGON działalność w zakresie budownictwa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EF1240" w14:textId="77777777" w:rsidR="0050022E" w:rsidRPr="00E93042" w:rsidRDefault="0050022E" w:rsidP="00583C72">
            <w:pPr>
              <w:spacing w:before="120" w:line="240" w:lineRule="auto"/>
              <w:jc w:val="center"/>
              <w:rPr>
                <w:rFonts w:ascii="Times New Roman" w:eastAsia="Times New Roman" w:hAnsi="Times New Roman"/>
              </w:rPr>
            </w:pPr>
            <w:r w:rsidRPr="00E93042">
              <w:rPr>
                <w:rFonts w:ascii="Times New Roman" w:eastAsia="Times New Roman" w:hAnsi="Times New Roman"/>
              </w:rPr>
              <w:t>GUS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A9C0582" w14:textId="77777777" w:rsidR="0050022E" w:rsidRPr="00E93042" w:rsidRDefault="0050022E" w:rsidP="0050022E">
            <w:pPr>
              <w:pStyle w:val="Akapitzlist"/>
              <w:numPr>
                <w:ilvl w:val="0"/>
                <w:numId w:val="11"/>
              </w:numPr>
              <w:spacing w:before="120" w:line="240" w:lineRule="auto"/>
              <w:rPr>
                <w:rFonts w:ascii="Times New Roman" w:eastAsia="Times New Roman" w:hAnsi="Times New Roman"/>
              </w:rPr>
            </w:pPr>
            <w:r w:rsidRPr="00E93042">
              <w:rPr>
                <w:rFonts w:ascii="Times New Roman" w:eastAsia="Times New Roman" w:hAnsi="Times New Roman"/>
              </w:rPr>
              <w:t>Lepsze warunki dla zapewnienia montażu finansowego nowych inwestycji budownictwa spółdzielczego lokatorskiego w związku z dodatkowym finansowaniem w programie SBC.</w:t>
            </w:r>
          </w:p>
          <w:p w14:paraId="1E8C010E" w14:textId="77777777" w:rsidR="0050022E" w:rsidRPr="00E93042" w:rsidRDefault="0050022E" w:rsidP="00583C72">
            <w:pPr>
              <w:spacing w:before="120" w:line="240" w:lineRule="auto"/>
              <w:ind w:firstLine="3"/>
              <w:rPr>
                <w:rFonts w:ascii="Times New Roman" w:eastAsia="Times New Roman" w:hAnsi="Times New Roman"/>
              </w:rPr>
            </w:pPr>
          </w:p>
        </w:tc>
      </w:tr>
      <w:tr w:rsidR="0050022E" w:rsidRPr="00E93042" w14:paraId="0B0FB329"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39C7A73C" w14:textId="77777777" w:rsidR="0050022E" w:rsidRPr="00E93042" w:rsidRDefault="0050022E" w:rsidP="00583C72">
            <w:pPr>
              <w:spacing w:before="120" w:after="120" w:line="240" w:lineRule="auto"/>
              <w:rPr>
                <w:rFonts w:ascii="Times New Roman" w:eastAsia="Times New Roman" w:hAnsi="Times New Roman"/>
              </w:rPr>
            </w:pPr>
            <w:r w:rsidRPr="00E93042">
              <w:rPr>
                <w:rFonts w:ascii="Times New Roman" w:eastAsia="Times New Roman" w:hAnsi="Times New Roman"/>
              </w:rPr>
              <w:t>Bank Gospodarstwa Krajowego</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3B677DD7" w14:textId="77777777" w:rsidR="0050022E" w:rsidRPr="00E93042" w:rsidRDefault="0050022E" w:rsidP="00583C72">
            <w:pPr>
              <w:spacing w:before="120" w:after="120"/>
              <w:jc w:val="center"/>
              <w:rPr>
                <w:rFonts w:ascii="Times New Roman" w:hAnsi="Times New Roman"/>
                <w:color w:val="000000"/>
                <w:spacing w:val="-2"/>
              </w:rPr>
            </w:pPr>
            <w:r w:rsidRPr="00E93042">
              <w:rPr>
                <w:rFonts w:ascii="Times New Roman" w:hAnsi="Times New Roman"/>
                <w:color w:val="000000"/>
                <w:spacing w:val="-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53812B" w14:textId="77777777" w:rsidR="0050022E" w:rsidRPr="00E93042" w:rsidRDefault="0050022E" w:rsidP="00583C72">
            <w:pPr>
              <w:spacing w:before="120" w:after="120" w:line="240" w:lineRule="auto"/>
              <w:jc w:val="center"/>
              <w:rPr>
                <w:rFonts w:ascii="Times New Roman" w:hAnsi="Times New Roman"/>
                <w:color w:val="000000"/>
                <w:spacing w:val="-2"/>
              </w:rPr>
            </w:pPr>
            <w:r w:rsidRPr="00E93042">
              <w:rPr>
                <w:rFonts w:ascii="Times New Roman" w:hAnsi="Times New Roman"/>
                <w:color w:val="000000"/>
                <w:spacing w:val="-2"/>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A8EFCD9" w14:textId="77777777" w:rsidR="0050022E" w:rsidRPr="00E93042" w:rsidRDefault="0050022E" w:rsidP="0050022E">
            <w:pPr>
              <w:pStyle w:val="Akapitzlist"/>
              <w:numPr>
                <w:ilvl w:val="0"/>
                <w:numId w:val="11"/>
              </w:numPr>
              <w:spacing w:before="120" w:after="120" w:line="240" w:lineRule="auto"/>
              <w:rPr>
                <w:rFonts w:ascii="Times New Roman" w:eastAsia="Times New Roman" w:hAnsi="Times New Roman"/>
              </w:rPr>
            </w:pPr>
            <w:r w:rsidRPr="00E93042">
              <w:rPr>
                <w:rFonts w:ascii="Times New Roman" w:eastAsia="Times New Roman" w:hAnsi="Times New Roman"/>
              </w:rPr>
              <w:t xml:space="preserve">Zmiana trybu udzielania przez BGK finansowego wsparcia na realizację przedsięwzięć finansowanych w ramach programu BSK. </w:t>
            </w:r>
          </w:p>
          <w:p w14:paraId="5A8713CE" w14:textId="77777777" w:rsidR="0050022E" w:rsidRPr="00E93042" w:rsidRDefault="0050022E" w:rsidP="0050022E">
            <w:pPr>
              <w:pStyle w:val="Akapitzlist"/>
              <w:numPr>
                <w:ilvl w:val="0"/>
                <w:numId w:val="11"/>
              </w:numPr>
              <w:spacing w:before="120" w:after="120" w:line="240" w:lineRule="auto"/>
              <w:rPr>
                <w:rFonts w:ascii="Times New Roman" w:eastAsia="Times New Roman" w:hAnsi="Times New Roman"/>
              </w:rPr>
            </w:pPr>
            <w:r w:rsidRPr="00E93042">
              <w:rPr>
                <w:rFonts w:ascii="Times New Roman" w:eastAsia="Times New Roman" w:hAnsi="Times New Roman"/>
              </w:rPr>
              <w:t>Podmiot odpowiedzialny za operacyjną obsługę dotychczasowych i nowego programu preferencyjnych kredytów mieszkaniowych.</w:t>
            </w:r>
          </w:p>
        </w:tc>
      </w:tr>
      <w:tr w:rsidR="0050022E" w:rsidRPr="00E93042" w14:paraId="7ECE31BA" w14:textId="77777777" w:rsidTr="00583C72">
        <w:trPr>
          <w:trHeight w:val="142"/>
        </w:trPr>
        <w:tc>
          <w:tcPr>
            <w:tcW w:w="2472" w:type="dxa"/>
            <w:tcBorders>
              <w:top w:val="single" w:sz="4" w:space="0" w:color="auto"/>
              <w:left w:val="single" w:sz="4" w:space="0" w:color="auto"/>
              <w:bottom w:val="single" w:sz="4" w:space="0" w:color="auto"/>
              <w:right w:val="single" w:sz="4" w:space="0" w:color="auto"/>
            </w:tcBorders>
            <w:shd w:val="clear" w:color="auto" w:fill="auto"/>
          </w:tcPr>
          <w:p w14:paraId="7458DFE4" w14:textId="77777777" w:rsidR="0050022E" w:rsidRPr="00E93042" w:rsidRDefault="0050022E" w:rsidP="00583C72">
            <w:pPr>
              <w:spacing w:before="120" w:after="120" w:line="240" w:lineRule="auto"/>
              <w:rPr>
                <w:rFonts w:ascii="Times New Roman" w:eastAsia="Times New Roman" w:hAnsi="Times New Roman"/>
              </w:rPr>
            </w:pPr>
            <w:r w:rsidRPr="00E93042">
              <w:rPr>
                <w:rFonts w:ascii="Times New Roman" w:eastAsia="Times New Roman" w:hAnsi="Times New Roman"/>
              </w:rPr>
              <w:t>Podmioty prowadzące działalność gospodarczą w obszarze budownictwa mieszkaniowego (np. producenci materiałów budowlanych, mebli, wykonawcy)</w:t>
            </w:r>
          </w:p>
        </w:tc>
        <w:tc>
          <w:tcPr>
            <w:tcW w:w="1639" w:type="dxa"/>
            <w:tcBorders>
              <w:top w:val="single" w:sz="4" w:space="0" w:color="auto"/>
              <w:left w:val="single" w:sz="4" w:space="0" w:color="auto"/>
              <w:bottom w:val="single" w:sz="4" w:space="0" w:color="auto"/>
              <w:right w:val="single" w:sz="4" w:space="0" w:color="auto"/>
            </w:tcBorders>
            <w:shd w:val="clear" w:color="auto" w:fill="auto"/>
          </w:tcPr>
          <w:p w14:paraId="10923048" w14:textId="77777777" w:rsidR="0050022E" w:rsidRPr="00E93042" w:rsidRDefault="0050022E" w:rsidP="00583C72">
            <w:pPr>
              <w:spacing w:before="120"/>
              <w:jc w:val="center"/>
              <w:rPr>
                <w:rFonts w:ascii="Times New Roman" w:eastAsia="Times New Roman" w:hAnsi="Times New Roman"/>
              </w:rPr>
            </w:pPr>
            <w:r w:rsidRPr="00E93042">
              <w:rPr>
                <w:rFonts w:ascii="Times New Roman" w:eastAsia="Times New Roman" w:hAnsi="Times New Roman"/>
              </w:rPr>
              <w:t xml:space="preserve">skala nie do oszacowania z uwagi na różnorodność tych podmiotów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52F6C6" w14:textId="77777777" w:rsidR="0050022E" w:rsidRPr="00E93042" w:rsidRDefault="0050022E" w:rsidP="00583C72">
            <w:pPr>
              <w:spacing w:before="120" w:after="120" w:line="240" w:lineRule="auto"/>
              <w:jc w:val="center"/>
              <w:rPr>
                <w:rFonts w:ascii="Times New Roman" w:eastAsia="Times New Roman" w:hAnsi="Times New Roman"/>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0D1E1BF" w14:textId="77777777" w:rsidR="0050022E" w:rsidRPr="00E93042" w:rsidRDefault="0050022E" w:rsidP="0050022E">
            <w:pPr>
              <w:pStyle w:val="Akapitzlist"/>
              <w:numPr>
                <w:ilvl w:val="0"/>
                <w:numId w:val="11"/>
              </w:numPr>
              <w:spacing w:before="120" w:line="240" w:lineRule="auto"/>
              <w:rPr>
                <w:rFonts w:ascii="Times New Roman" w:eastAsia="Times New Roman" w:hAnsi="Times New Roman"/>
              </w:rPr>
            </w:pPr>
            <w:r w:rsidRPr="00E93042">
              <w:rPr>
                <w:rFonts w:ascii="Times New Roman" w:eastAsia="Times New Roman" w:hAnsi="Times New Roman"/>
              </w:rPr>
              <w:t>Możliwe zwiększenie liczby rozpoczynanych inwestycji w segmencie komunalnym i TBS-</w:t>
            </w:r>
            <w:proofErr w:type="spellStart"/>
            <w:r w:rsidRPr="00E93042">
              <w:rPr>
                <w:rFonts w:ascii="Times New Roman" w:eastAsia="Times New Roman" w:hAnsi="Times New Roman"/>
              </w:rPr>
              <w:t>owskim</w:t>
            </w:r>
            <w:proofErr w:type="spellEnd"/>
            <w:r w:rsidRPr="00E93042">
              <w:rPr>
                <w:rFonts w:ascii="Times New Roman" w:eastAsia="Times New Roman" w:hAnsi="Times New Roman"/>
              </w:rPr>
              <w:t xml:space="preserve"> przyczyni się do wzrostu zapotrzebowania na produkowane wyroby i oferowane usługi wpływając na poprawę </w:t>
            </w:r>
            <w:r w:rsidRPr="00E93042">
              <w:rPr>
                <w:rFonts w:ascii="Times New Roman" w:eastAsia="Times New Roman" w:hAnsi="Times New Roman"/>
              </w:rPr>
              <w:lastRenderedPageBreak/>
              <w:t>działalności gospodarczej tych podmiotów</w:t>
            </w:r>
          </w:p>
        </w:tc>
      </w:tr>
    </w:tbl>
    <w:p w14:paraId="4756A880" w14:textId="77777777" w:rsidR="0050022E" w:rsidRPr="00E93042" w:rsidRDefault="0050022E" w:rsidP="0050022E">
      <w:pPr>
        <w:jc w:val="both"/>
        <w:rPr>
          <w:rFonts w:ascii="Times New Roman" w:hAnsi="Times New Roman"/>
          <w:color w:val="808080" w:themeColor="background1" w:themeShade="80"/>
        </w:rPr>
      </w:pPr>
    </w:p>
    <w:p w14:paraId="628B211F" w14:textId="77777777" w:rsidR="0050022E" w:rsidRPr="00E93042" w:rsidRDefault="0050022E" w:rsidP="0050022E">
      <w:pPr>
        <w:jc w:val="both"/>
        <w:rPr>
          <w:rFonts w:ascii="Times New Roman" w:hAnsi="Times New Roman"/>
        </w:rPr>
      </w:pPr>
      <w:r w:rsidRPr="00E93042">
        <w:rPr>
          <w:rFonts w:ascii="Times New Roman" w:hAnsi="Times New Roman"/>
        </w:rPr>
        <w:t>[6] Jakie są przewidywane skutki finansowe projektowanych rozwiązań, w szczególności wpływ na sektor finansów publicznych, w tym na budżet państwa i budżety jednostek samorządu terytorialnego?</w:t>
      </w:r>
    </w:p>
    <w:tbl>
      <w:tblPr>
        <w:tblW w:w="10947"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851"/>
        <w:gridCol w:w="708"/>
        <w:gridCol w:w="709"/>
        <w:gridCol w:w="709"/>
        <w:gridCol w:w="709"/>
        <w:gridCol w:w="708"/>
        <w:gridCol w:w="709"/>
        <w:gridCol w:w="709"/>
        <w:gridCol w:w="709"/>
        <w:gridCol w:w="708"/>
        <w:gridCol w:w="709"/>
        <w:gridCol w:w="995"/>
      </w:tblGrid>
      <w:tr w:rsidR="0050022E" w:rsidRPr="00E93042" w14:paraId="5623B2B8" w14:textId="77777777" w:rsidTr="00583C72">
        <w:trPr>
          <w:trHeight w:val="142"/>
        </w:trPr>
        <w:tc>
          <w:tcPr>
            <w:tcW w:w="2014" w:type="dxa"/>
            <w:shd w:val="clear" w:color="auto" w:fill="FFFFFF"/>
          </w:tcPr>
          <w:p w14:paraId="0E828E50" w14:textId="77777777" w:rsidR="0050022E" w:rsidRPr="00E93042" w:rsidRDefault="0050022E" w:rsidP="00583C72">
            <w:pPr>
              <w:spacing w:before="40" w:after="40"/>
              <w:rPr>
                <w:rFonts w:ascii="Times New Roman" w:hAnsi="Times New Roman"/>
                <w:b/>
                <w:bCs/>
                <w:i/>
                <w:color w:val="000000"/>
              </w:rPr>
            </w:pPr>
            <w:r w:rsidRPr="00E93042">
              <w:rPr>
                <w:rFonts w:ascii="Times New Roman" w:hAnsi="Times New Roman"/>
                <w:b/>
                <w:bCs/>
                <w:color w:val="000000"/>
              </w:rPr>
              <w:t>rok 2025 = 0</w:t>
            </w:r>
          </w:p>
        </w:tc>
        <w:tc>
          <w:tcPr>
            <w:tcW w:w="8933" w:type="dxa"/>
            <w:gridSpan w:val="12"/>
            <w:shd w:val="clear" w:color="auto" w:fill="FFFFFF"/>
          </w:tcPr>
          <w:p w14:paraId="419A43B1" w14:textId="77777777" w:rsidR="0050022E" w:rsidRPr="00E93042" w:rsidRDefault="0050022E" w:rsidP="00583C72">
            <w:pPr>
              <w:spacing w:before="40" w:after="40"/>
              <w:jc w:val="center"/>
              <w:rPr>
                <w:rFonts w:ascii="Times New Roman" w:hAnsi="Times New Roman"/>
                <w:b/>
                <w:bCs/>
                <w:i/>
                <w:color w:val="000000"/>
                <w:spacing w:val="-2"/>
              </w:rPr>
            </w:pPr>
            <w:r w:rsidRPr="00E93042">
              <w:rPr>
                <w:rFonts w:ascii="Times New Roman" w:hAnsi="Times New Roman"/>
                <w:b/>
                <w:bCs/>
                <w:color w:val="000000"/>
              </w:rPr>
              <w:t xml:space="preserve">Skutki w okresie 10 lat od wejścia w życie zmian [mln zł] </w:t>
            </w:r>
          </w:p>
        </w:tc>
      </w:tr>
      <w:tr w:rsidR="00E93042" w:rsidRPr="00E93042" w14:paraId="38FDB6F6" w14:textId="77777777" w:rsidTr="00583C72">
        <w:trPr>
          <w:trHeight w:val="142"/>
        </w:trPr>
        <w:tc>
          <w:tcPr>
            <w:tcW w:w="2014" w:type="dxa"/>
            <w:shd w:val="clear" w:color="auto" w:fill="FFFFFF"/>
          </w:tcPr>
          <w:p w14:paraId="328C1962" w14:textId="77777777" w:rsidR="0050022E" w:rsidRPr="00E93042" w:rsidRDefault="0050022E" w:rsidP="00583C72">
            <w:pPr>
              <w:spacing w:before="40" w:after="40"/>
              <w:rPr>
                <w:rFonts w:ascii="Times New Roman" w:hAnsi="Times New Roman"/>
                <w:i/>
                <w:color w:val="000000"/>
              </w:rPr>
            </w:pPr>
          </w:p>
        </w:tc>
        <w:tc>
          <w:tcPr>
            <w:tcW w:w="851" w:type="dxa"/>
            <w:shd w:val="clear" w:color="auto" w:fill="FFFFFF"/>
          </w:tcPr>
          <w:p w14:paraId="43B68497"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0</w:t>
            </w:r>
          </w:p>
        </w:tc>
        <w:tc>
          <w:tcPr>
            <w:tcW w:w="708" w:type="dxa"/>
            <w:shd w:val="clear" w:color="auto" w:fill="FFFFFF"/>
          </w:tcPr>
          <w:p w14:paraId="4C097357"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1</w:t>
            </w:r>
          </w:p>
        </w:tc>
        <w:tc>
          <w:tcPr>
            <w:tcW w:w="709" w:type="dxa"/>
            <w:shd w:val="clear" w:color="auto" w:fill="FFFFFF"/>
          </w:tcPr>
          <w:p w14:paraId="219AAC52"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2</w:t>
            </w:r>
          </w:p>
        </w:tc>
        <w:tc>
          <w:tcPr>
            <w:tcW w:w="709" w:type="dxa"/>
            <w:shd w:val="clear" w:color="auto" w:fill="FFFFFF"/>
          </w:tcPr>
          <w:p w14:paraId="45D185DA"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3</w:t>
            </w:r>
          </w:p>
        </w:tc>
        <w:tc>
          <w:tcPr>
            <w:tcW w:w="709" w:type="dxa"/>
            <w:shd w:val="clear" w:color="auto" w:fill="FFFFFF"/>
          </w:tcPr>
          <w:p w14:paraId="1208E1A7"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4</w:t>
            </w:r>
          </w:p>
        </w:tc>
        <w:tc>
          <w:tcPr>
            <w:tcW w:w="708" w:type="dxa"/>
            <w:shd w:val="clear" w:color="auto" w:fill="FFFFFF"/>
          </w:tcPr>
          <w:p w14:paraId="79C574E5"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5</w:t>
            </w:r>
          </w:p>
        </w:tc>
        <w:tc>
          <w:tcPr>
            <w:tcW w:w="709" w:type="dxa"/>
            <w:shd w:val="clear" w:color="auto" w:fill="FFFFFF"/>
          </w:tcPr>
          <w:p w14:paraId="27225BFF"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6</w:t>
            </w:r>
          </w:p>
        </w:tc>
        <w:tc>
          <w:tcPr>
            <w:tcW w:w="709" w:type="dxa"/>
            <w:shd w:val="clear" w:color="auto" w:fill="FFFFFF"/>
          </w:tcPr>
          <w:p w14:paraId="6C300134"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7</w:t>
            </w:r>
          </w:p>
        </w:tc>
        <w:tc>
          <w:tcPr>
            <w:tcW w:w="709" w:type="dxa"/>
            <w:shd w:val="clear" w:color="auto" w:fill="FFFFFF"/>
          </w:tcPr>
          <w:p w14:paraId="08AB113E"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8</w:t>
            </w:r>
          </w:p>
        </w:tc>
        <w:tc>
          <w:tcPr>
            <w:tcW w:w="708" w:type="dxa"/>
            <w:shd w:val="clear" w:color="auto" w:fill="FFFFFF"/>
          </w:tcPr>
          <w:p w14:paraId="25C139FD"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9</w:t>
            </w:r>
          </w:p>
        </w:tc>
        <w:tc>
          <w:tcPr>
            <w:tcW w:w="709" w:type="dxa"/>
            <w:shd w:val="clear" w:color="auto" w:fill="FFFFFF"/>
          </w:tcPr>
          <w:p w14:paraId="00DA56D0"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10</w:t>
            </w:r>
          </w:p>
        </w:tc>
        <w:tc>
          <w:tcPr>
            <w:tcW w:w="995" w:type="dxa"/>
            <w:shd w:val="clear" w:color="auto" w:fill="FFFFFF"/>
          </w:tcPr>
          <w:p w14:paraId="53410A01" w14:textId="77777777" w:rsidR="0050022E" w:rsidRPr="00E93042" w:rsidRDefault="0050022E" w:rsidP="00583C72">
            <w:pPr>
              <w:spacing w:before="40" w:after="40"/>
              <w:jc w:val="center"/>
              <w:rPr>
                <w:rFonts w:ascii="Times New Roman" w:hAnsi="Times New Roman"/>
                <w:i/>
                <w:color w:val="000000"/>
                <w:spacing w:val="-2"/>
              </w:rPr>
            </w:pPr>
            <w:r w:rsidRPr="00E93042">
              <w:rPr>
                <w:rFonts w:ascii="Times New Roman" w:hAnsi="Times New Roman"/>
                <w:i/>
                <w:color w:val="000000"/>
                <w:spacing w:val="-2"/>
              </w:rPr>
              <w:t xml:space="preserve">Łącznie </w:t>
            </w:r>
          </w:p>
          <w:p w14:paraId="0129BB29" w14:textId="77777777" w:rsidR="0050022E" w:rsidRPr="00E93042" w:rsidRDefault="0050022E" w:rsidP="00583C72">
            <w:pPr>
              <w:spacing w:before="40" w:after="40"/>
              <w:jc w:val="center"/>
              <w:rPr>
                <w:rFonts w:ascii="Times New Roman" w:hAnsi="Times New Roman"/>
                <w:i/>
                <w:color w:val="000000"/>
                <w:spacing w:val="-2"/>
              </w:rPr>
            </w:pPr>
            <w:r w:rsidRPr="00E93042">
              <w:rPr>
                <w:rFonts w:ascii="Times New Roman" w:hAnsi="Times New Roman"/>
                <w:i/>
                <w:color w:val="000000"/>
                <w:spacing w:val="-2"/>
              </w:rPr>
              <w:t>(0-10)</w:t>
            </w:r>
          </w:p>
        </w:tc>
      </w:tr>
      <w:tr w:rsidR="00E93042" w:rsidRPr="00E93042" w14:paraId="1047AF5D" w14:textId="77777777" w:rsidTr="00583C72">
        <w:trPr>
          <w:trHeight w:val="321"/>
        </w:trPr>
        <w:tc>
          <w:tcPr>
            <w:tcW w:w="2014" w:type="dxa"/>
            <w:shd w:val="clear" w:color="auto" w:fill="FFFFFF"/>
            <w:vAlign w:val="center"/>
          </w:tcPr>
          <w:p w14:paraId="7860D581" w14:textId="77777777" w:rsidR="0050022E" w:rsidRPr="00E93042" w:rsidRDefault="0050022E" w:rsidP="00583C72">
            <w:pPr>
              <w:rPr>
                <w:rFonts w:ascii="Times New Roman" w:hAnsi="Times New Roman"/>
                <w:color w:val="000000"/>
              </w:rPr>
            </w:pPr>
            <w:r w:rsidRPr="00E93042">
              <w:rPr>
                <w:rFonts w:ascii="Times New Roman" w:hAnsi="Times New Roman"/>
                <w:b/>
                <w:color w:val="000000"/>
              </w:rPr>
              <w:t>Dochody ogółem</w:t>
            </w:r>
          </w:p>
        </w:tc>
        <w:tc>
          <w:tcPr>
            <w:tcW w:w="851" w:type="dxa"/>
            <w:shd w:val="clear" w:color="auto" w:fill="FFFFFF"/>
            <w:vAlign w:val="center"/>
          </w:tcPr>
          <w:p w14:paraId="35EBAEE0"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4 000</w:t>
            </w:r>
          </w:p>
        </w:tc>
        <w:tc>
          <w:tcPr>
            <w:tcW w:w="708" w:type="dxa"/>
            <w:shd w:val="clear" w:color="auto" w:fill="FFFFFF"/>
            <w:vAlign w:val="center"/>
          </w:tcPr>
          <w:p w14:paraId="2DA08857"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6 000</w:t>
            </w:r>
          </w:p>
        </w:tc>
        <w:tc>
          <w:tcPr>
            <w:tcW w:w="709" w:type="dxa"/>
            <w:shd w:val="clear" w:color="auto" w:fill="FFFFFF"/>
            <w:vAlign w:val="center"/>
          </w:tcPr>
          <w:p w14:paraId="029B3798"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7 000</w:t>
            </w:r>
          </w:p>
        </w:tc>
        <w:tc>
          <w:tcPr>
            <w:tcW w:w="709" w:type="dxa"/>
            <w:shd w:val="clear" w:color="auto" w:fill="FFFFFF"/>
            <w:vAlign w:val="center"/>
          </w:tcPr>
          <w:p w14:paraId="17B0685C"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8 000</w:t>
            </w:r>
          </w:p>
        </w:tc>
        <w:tc>
          <w:tcPr>
            <w:tcW w:w="709" w:type="dxa"/>
            <w:shd w:val="clear" w:color="auto" w:fill="FFFFFF"/>
            <w:vAlign w:val="center"/>
          </w:tcPr>
          <w:p w14:paraId="65A0565B"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9 000</w:t>
            </w:r>
          </w:p>
        </w:tc>
        <w:tc>
          <w:tcPr>
            <w:tcW w:w="708" w:type="dxa"/>
            <w:shd w:val="clear" w:color="auto" w:fill="FFFFFF"/>
            <w:vAlign w:val="center"/>
          </w:tcPr>
          <w:p w14:paraId="531DD619"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10 000</w:t>
            </w:r>
          </w:p>
        </w:tc>
        <w:tc>
          <w:tcPr>
            <w:tcW w:w="709" w:type="dxa"/>
            <w:shd w:val="clear" w:color="auto" w:fill="FFFFFF"/>
            <w:vAlign w:val="center"/>
          </w:tcPr>
          <w:p w14:paraId="3AAB4C48"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589A3FC5"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308D4BB3"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379DD16B"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3C77C2F9" w14:textId="77777777" w:rsidR="0050022E" w:rsidRPr="00E93042" w:rsidRDefault="0050022E" w:rsidP="00583C72">
            <w:pPr>
              <w:jc w:val="center"/>
              <w:rPr>
                <w:rFonts w:ascii="Times New Roman" w:hAnsi="Times New Roman"/>
                <w:color w:val="000000"/>
              </w:rPr>
            </w:pPr>
          </w:p>
        </w:tc>
        <w:tc>
          <w:tcPr>
            <w:tcW w:w="995" w:type="dxa"/>
            <w:shd w:val="clear" w:color="auto" w:fill="FFFFFF"/>
            <w:vAlign w:val="center"/>
          </w:tcPr>
          <w:p w14:paraId="597FA0C6" w14:textId="77777777" w:rsidR="0050022E" w:rsidRPr="00E93042" w:rsidRDefault="0050022E" w:rsidP="00583C72">
            <w:pPr>
              <w:jc w:val="center"/>
              <w:rPr>
                <w:rFonts w:ascii="Times New Roman" w:hAnsi="Times New Roman"/>
                <w:color w:val="000000"/>
                <w:spacing w:val="-2"/>
              </w:rPr>
            </w:pPr>
            <w:r w:rsidRPr="00E93042">
              <w:rPr>
                <w:rFonts w:ascii="Times New Roman" w:hAnsi="Times New Roman"/>
                <w:color w:val="000000"/>
              </w:rPr>
              <w:t>44 000</w:t>
            </w:r>
          </w:p>
        </w:tc>
      </w:tr>
      <w:tr w:rsidR="00E93042" w:rsidRPr="00E93042" w14:paraId="11096F77" w14:textId="77777777" w:rsidTr="00583C72">
        <w:trPr>
          <w:trHeight w:val="321"/>
        </w:trPr>
        <w:tc>
          <w:tcPr>
            <w:tcW w:w="2014" w:type="dxa"/>
            <w:shd w:val="clear" w:color="auto" w:fill="FFFFFF"/>
            <w:vAlign w:val="center"/>
          </w:tcPr>
          <w:p w14:paraId="291F37B0" w14:textId="77777777" w:rsidR="0050022E" w:rsidRPr="00E93042" w:rsidRDefault="0050022E" w:rsidP="00583C72">
            <w:pPr>
              <w:rPr>
                <w:rFonts w:ascii="Times New Roman" w:hAnsi="Times New Roman"/>
                <w:color w:val="000000"/>
              </w:rPr>
            </w:pPr>
            <w:r w:rsidRPr="00E93042">
              <w:rPr>
                <w:rFonts w:ascii="Times New Roman" w:hAnsi="Times New Roman"/>
                <w:color w:val="000000"/>
              </w:rPr>
              <w:t>budżet państwa</w:t>
            </w:r>
          </w:p>
        </w:tc>
        <w:tc>
          <w:tcPr>
            <w:tcW w:w="851" w:type="dxa"/>
            <w:shd w:val="clear" w:color="auto" w:fill="FFFFFF"/>
            <w:vAlign w:val="center"/>
          </w:tcPr>
          <w:p w14:paraId="2DA8178E"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249C7A67"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221096C3"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71748C68"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1F3B5C42"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434F07CC"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49EB0350"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57EAE49C"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695118A0"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672A97CD"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680E7FF7" w14:textId="77777777" w:rsidR="0050022E" w:rsidRPr="00E93042" w:rsidRDefault="0050022E" w:rsidP="00583C72">
            <w:pPr>
              <w:jc w:val="center"/>
              <w:rPr>
                <w:rFonts w:ascii="Times New Roman" w:hAnsi="Times New Roman"/>
                <w:color w:val="000000"/>
              </w:rPr>
            </w:pPr>
          </w:p>
        </w:tc>
        <w:tc>
          <w:tcPr>
            <w:tcW w:w="995" w:type="dxa"/>
            <w:shd w:val="clear" w:color="auto" w:fill="FFFFFF"/>
            <w:vAlign w:val="center"/>
          </w:tcPr>
          <w:p w14:paraId="0F502789" w14:textId="77777777" w:rsidR="0050022E" w:rsidRPr="00E93042" w:rsidRDefault="0050022E" w:rsidP="00583C72">
            <w:pPr>
              <w:jc w:val="center"/>
              <w:rPr>
                <w:rFonts w:ascii="Times New Roman" w:hAnsi="Times New Roman"/>
                <w:color w:val="000000"/>
                <w:spacing w:val="-2"/>
              </w:rPr>
            </w:pPr>
          </w:p>
        </w:tc>
      </w:tr>
      <w:tr w:rsidR="00E93042" w:rsidRPr="00E93042" w14:paraId="4B431DFF" w14:textId="77777777" w:rsidTr="00583C72">
        <w:trPr>
          <w:trHeight w:val="344"/>
        </w:trPr>
        <w:tc>
          <w:tcPr>
            <w:tcW w:w="2014" w:type="dxa"/>
            <w:shd w:val="clear" w:color="auto" w:fill="FFFFFF"/>
            <w:vAlign w:val="center"/>
          </w:tcPr>
          <w:p w14:paraId="3205E0A7" w14:textId="77777777" w:rsidR="0050022E" w:rsidRPr="00E93042" w:rsidRDefault="0050022E" w:rsidP="00583C72">
            <w:pPr>
              <w:rPr>
                <w:rFonts w:ascii="Times New Roman" w:hAnsi="Times New Roman"/>
                <w:color w:val="000000"/>
              </w:rPr>
            </w:pPr>
            <w:r w:rsidRPr="00E93042">
              <w:rPr>
                <w:rFonts w:ascii="Times New Roman" w:hAnsi="Times New Roman"/>
                <w:color w:val="000000"/>
              </w:rPr>
              <w:t>JST</w:t>
            </w:r>
          </w:p>
        </w:tc>
        <w:tc>
          <w:tcPr>
            <w:tcW w:w="851" w:type="dxa"/>
            <w:shd w:val="clear" w:color="auto" w:fill="FFFFFF"/>
            <w:vAlign w:val="center"/>
          </w:tcPr>
          <w:p w14:paraId="268837E4"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4 000</w:t>
            </w:r>
          </w:p>
        </w:tc>
        <w:tc>
          <w:tcPr>
            <w:tcW w:w="708" w:type="dxa"/>
            <w:shd w:val="clear" w:color="auto" w:fill="FFFFFF"/>
            <w:vAlign w:val="center"/>
          </w:tcPr>
          <w:p w14:paraId="52D4FBC5"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6 000</w:t>
            </w:r>
          </w:p>
        </w:tc>
        <w:tc>
          <w:tcPr>
            <w:tcW w:w="709" w:type="dxa"/>
            <w:shd w:val="clear" w:color="auto" w:fill="FFFFFF"/>
            <w:vAlign w:val="center"/>
          </w:tcPr>
          <w:p w14:paraId="4FCB9B84"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7 000</w:t>
            </w:r>
          </w:p>
        </w:tc>
        <w:tc>
          <w:tcPr>
            <w:tcW w:w="709" w:type="dxa"/>
            <w:shd w:val="clear" w:color="auto" w:fill="FFFFFF"/>
            <w:vAlign w:val="center"/>
          </w:tcPr>
          <w:p w14:paraId="511A06D2"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8 000</w:t>
            </w:r>
          </w:p>
        </w:tc>
        <w:tc>
          <w:tcPr>
            <w:tcW w:w="709" w:type="dxa"/>
            <w:shd w:val="clear" w:color="auto" w:fill="FFFFFF"/>
            <w:vAlign w:val="center"/>
          </w:tcPr>
          <w:p w14:paraId="6E848765"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9 000</w:t>
            </w:r>
          </w:p>
        </w:tc>
        <w:tc>
          <w:tcPr>
            <w:tcW w:w="708" w:type="dxa"/>
            <w:shd w:val="clear" w:color="auto" w:fill="FFFFFF"/>
            <w:vAlign w:val="center"/>
          </w:tcPr>
          <w:p w14:paraId="6D4B171D"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10 000</w:t>
            </w:r>
          </w:p>
        </w:tc>
        <w:tc>
          <w:tcPr>
            <w:tcW w:w="709" w:type="dxa"/>
            <w:shd w:val="clear" w:color="auto" w:fill="FFFFFF"/>
            <w:vAlign w:val="center"/>
          </w:tcPr>
          <w:p w14:paraId="74C2A340"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69FDC7DB"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47E91545"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53E1C372"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1713BBEA" w14:textId="77777777" w:rsidR="0050022E" w:rsidRPr="00E93042" w:rsidRDefault="0050022E" w:rsidP="00583C72">
            <w:pPr>
              <w:jc w:val="center"/>
              <w:rPr>
                <w:rFonts w:ascii="Times New Roman" w:hAnsi="Times New Roman"/>
                <w:color w:val="000000"/>
              </w:rPr>
            </w:pPr>
          </w:p>
        </w:tc>
        <w:tc>
          <w:tcPr>
            <w:tcW w:w="995" w:type="dxa"/>
            <w:shd w:val="clear" w:color="auto" w:fill="FFFFFF"/>
            <w:vAlign w:val="center"/>
          </w:tcPr>
          <w:p w14:paraId="6B1CCF21"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44 000</w:t>
            </w:r>
          </w:p>
        </w:tc>
      </w:tr>
      <w:tr w:rsidR="00E93042" w:rsidRPr="00E93042" w14:paraId="0985A274" w14:textId="77777777" w:rsidTr="00583C72">
        <w:trPr>
          <w:trHeight w:val="344"/>
        </w:trPr>
        <w:tc>
          <w:tcPr>
            <w:tcW w:w="2014" w:type="dxa"/>
            <w:shd w:val="clear" w:color="auto" w:fill="FFFFFF"/>
            <w:vAlign w:val="center"/>
          </w:tcPr>
          <w:p w14:paraId="68E2A6F6" w14:textId="77777777" w:rsidR="0050022E" w:rsidRPr="00E93042" w:rsidRDefault="0050022E" w:rsidP="00583C72">
            <w:pPr>
              <w:rPr>
                <w:rFonts w:ascii="Times New Roman" w:hAnsi="Times New Roman"/>
                <w:color w:val="000000"/>
              </w:rPr>
            </w:pPr>
            <w:r w:rsidRPr="00E93042">
              <w:rPr>
                <w:rFonts w:ascii="Times New Roman" w:hAnsi="Times New Roman"/>
                <w:color w:val="000000"/>
              </w:rPr>
              <w:t>pozostałe jednostki (oddzielnie)</w:t>
            </w:r>
          </w:p>
        </w:tc>
        <w:tc>
          <w:tcPr>
            <w:tcW w:w="851" w:type="dxa"/>
            <w:shd w:val="clear" w:color="auto" w:fill="FFFFFF"/>
            <w:vAlign w:val="center"/>
          </w:tcPr>
          <w:p w14:paraId="5A2C17B6"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689693FB"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73B7EF7A"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726B1FB7"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12ACAE30"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05A320E9"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5E324A55"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4A5A87DA"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0E1AA265"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2ED4BB42"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3220A027" w14:textId="77777777" w:rsidR="0050022E" w:rsidRPr="00E93042" w:rsidRDefault="0050022E" w:rsidP="00583C72">
            <w:pPr>
              <w:jc w:val="center"/>
              <w:rPr>
                <w:rFonts w:ascii="Times New Roman" w:hAnsi="Times New Roman"/>
                <w:color w:val="000000"/>
              </w:rPr>
            </w:pPr>
          </w:p>
        </w:tc>
        <w:tc>
          <w:tcPr>
            <w:tcW w:w="995" w:type="dxa"/>
            <w:shd w:val="clear" w:color="auto" w:fill="FFFFFF"/>
            <w:vAlign w:val="center"/>
          </w:tcPr>
          <w:p w14:paraId="28ACD575" w14:textId="77777777" w:rsidR="0050022E" w:rsidRPr="00E93042" w:rsidRDefault="0050022E" w:rsidP="00583C72">
            <w:pPr>
              <w:jc w:val="center"/>
              <w:rPr>
                <w:rFonts w:ascii="Times New Roman" w:hAnsi="Times New Roman"/>
                <w:color w:val="000000"/>
              </w:rPr>
            </w:pPr>
          </w:p>
        </w:tc>
      </w:tr>
      <w:tr w:rsidR="00E93042" w:rsidRPr="00E93042" w14:paraId="7B44FAA6" w14:textId="77777777" w:rsidTr="00583C72">
        <w:trPr>
          <w:trHeight w:val="330"/>
        </w:trPr>
        <w:tc>
          <w:tcPr>
            <w:tcW w:w="2014" w:type="dxa"/>
            <w:shd w:val="clear" w:color="auto" w:fill="FFFFFF"/>
            <w:vAlign w:val="center"/>
          </w:tcPr>
          <w:p w14:paraId="66B5F16A" w14:textId="77777777" w:rsidR="0050022E" w:rsidRPr="00E93042" w:rsidRDefault="0050022E" w:rsidP="00583C72">
            <w:pPr>
              <w:rPr>
                <w:rFonts w:ascii="Times New Roman" w:hAnsi="Times New Roman"/>
                <w:color w:val="000000"/>
              </w:rPr>
            </w:pPr>
            <w:r w:rsidRPr="00E93042">
              <w:rPr>
                <w:rFonts w:ascii="Times New Roman" w:hAnsi="Times New Roman"/>
                <w:b/>
                <w:color w:val="000000"/>
              </w:rPr>
              <w:t>Wydatki ogółem</w:t>
            </w:r>
          </w:p>
        </w:tc>
        <w:tc>
          <w:tcPr>
            <w:tcW w:w="851" w:type="dxa"/>
            <w:shd w:val="clear" w:color="auto" w:fill="FFFFFF"/>
            <w:vAlign w:val="center"/>
          </w:tcPr>
          <w:p w14:paraId="6CFB4EF7"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595</w:t>
            </w:r>
          </w:p>
          <w:p w14:paraId="0011434F"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314FDEA1"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340</w:t>
            </w:r>
          </w:p>
        </w:tc>
        <w:tc>
          <w:tcPr>
            <w:tcW w:w="709" w:type="dxa"/>
            <w:shd w:val="clear" w:color="auto" w:fill="FFFFFF"/>
            <w:vAlign w:val="center"/>
          </w:tcPr>
          <w:p w14:paraId="601C916B"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6</w:t>
            </w:r>
          </w:p>
        </w:tc>
        <w:tc>
          <w:tcPr>
            <w:tcW w:w="709" w:type="dxa"/>
            <w:shd w:val="clear" w:color="auto" w:fill="FFFFFF"/>
            <w:vAlign w:val="center"/>
          </w:tcPr>
          <w:p w14:paraId="43038F8F"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72</w:t>
            </w:r>
          </w:p>
        </w:tc>
        <w:tc>
          <w:tcPr>
            <w:tcW w:w="709" w:type="dxa"/>
            <w:shd w:val="clear" w:color="auto" w:fill="FFFFFF"/>
            <w:vAlign w:val="center"/>
          </w:tcPr>
          <w:p w14:paraId="7AA74B0B"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281</w:t>
            </w:r>
          </w:p>
        </w:tc>
        <w:tc>
          <w:tcPr>
            <w:tcW w:w="708" w:type="dxa"/>
            <w:shd w:val="clear" w:color="auto" w:fill="FFFFFF"/>
            <w:vAlign w:val="center"/>
          </w:tcPr>
          <w:p w14:paraId="7EF6ECFD"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348</w:t>
            </w:r>
          </w:p>
        </w:tc>
        <w:tc>
          <w:tcPr>
            <w:tcW w:w="709" w:type="dxa"/>
            <w:shd w:val="clear" w:color="auto" w:fill="FFFFFF"/>
            <w:vAlign w:val="center"/>
          </w:tcPr>
          <w:p w14:paraId="61EE99D3"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366</w:t>
            </w:r>
          </w:p>
        </w:tc>
        <w:tc>
          <w:tcPr>
            <w:tcW w:w="709" w:type="dxa"/>
            <w:shd w:val="clear" w:color="auto" w:fill="FFFFFF"/>
            <w:vAlign w:val="center"/>
          </w:tcPr>
          <w:p w14:paraId="19900D7E"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331</w:t>
            </w:r>
          </w:p>
        </w:tc>
        <w:tc>
          <w:tcPr>
            <w:tcW w:w="709" w:type="dxa"/>
            <w:shd w:val="clear" w:color="auto" w:fill="FFFFFF"/>
            <w:vAlign w:val="center"/>
          </w:tcPr>
          <w:p w14:paraId="46626C72"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48E72ACE"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6761EF0F" w14:textId="77777777" w:rsidR="0050022E" w:rsidRPr="00E93042" w:rsidRDefault="0050022E" w:rsidP="00583C72">
            <w:pPr>
              <w:jc w:val="center"/>
              <w:rPr>
                <w:rFonts w:ascii="Times New Roman" w:hAnsi="Times New Roman"/>
                <w:color w:val="000000"/>
              </w:rPr>
            </w:pPr>
          </w:p>
        </w:tc>
        <w:tc>
          <w:tcPr>
            <w:tcW w:w="995" w:type="dxa"/>
            <w:shd w:val="clear" w:color="auto" w:fill="FFFFFF"/>
            <w:vAlign w:val="center"/>
          </w:tcPr>
          <w:p w14:paraId="331D0491"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2 339</w:t>
            </w:r>
          </w:p>
        </w:tc>
      </w:tr>
      <w:tr w:rsidR="00E93042" w:rsidRPr="00E93042" w14:paraId="7B6A320F" w14:textId="77777777" w:rsidTr="00583C72">
        <w:trPr>
          <w:trHeight w:val="330"/>
        </w:trPr>
        <w:tc>
          <w:tcPr>
            <w:tcW w:w="2014" w:type="dxa"/>
            <w:shd w:val="clear" w:color="auto" w:fill="FFFFFF"/>
            <w:vAlign w:val="center"/>
          </w:tcPr>
          <w:p w14:paraId="2050B98D" w14:textId="77777777" w:rsidR="0050022E" w:rsidRPr="00E93042" w:rsidRDefault="0050022E" w:rsidP="00583C72">
            <w:pPr>
              <w:rPr>
                <w:rFonts w:ascii="Times New Roman" w:hAnsi="Times New Roman"/>
                <w:color w:val="000000"/>
              </w:rPr>
            </w:pPr>
            <w:r w:rsidRPr="00E93042">
              <w:rPr>
                <w:rFonts w:ascii="Times New Roman" w:hAnsi="Times New Roman"/>
                <w:color w:val="000000"/>
              </w:rPr>
              <w:t>budżet państwa</w:t>
            </w:r>
          </w:p>
        </w:tc>
        <w:tc>
          <w:tcPr>
            <w:tcW w:w="851" w:type="dxa"/>
            <w:shd w:val="clear" w:color="auto" w:fill="FFFFFF"/>
            <w:vAlign w:val="center"/>
          </w:tcPr>
          <w:p w14:paraId="53EB2AD1"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4595</w:t>
            </w:r>
          </w:p>
          <w:p w14:paraId="7FD67089"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60A82517"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6340</w:t>
            </w:r>
          </w:p>
        </w:tc>
        <w:tc>
          <w:tcPr>
            <w:tcW w:w="709" w:type="dxa"/>
            <w:shd w:val="clear" w:color="auto" w:fill="FFFFFF"/>
            <w:vAlign w:val="center"/>
          </w:tcPr>
          <w:p w14:paraId="2DA3BDCC"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7006</w:t>
            </w:r>
          </w:p>
        </w:tc>
        <w:tc>
          <w:tcPr>
            <w:tcW w:w="709" w:type="dxa"/>
            <w:shd w:val="clear" w:color="auto" w:fill="FFFFFF"/>
            <w:vAlign w:val="center"/>
          </w:tcPr>
          <w:p w14:paraId="7DB4F7CC"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8072</w:t>
            </w:r>
          </w:p>
        </w:tc>
        <w:tc>
          <w:tcPr>
            <w:tcW w:w="709" w:type="dxa"/>
            <w:shd w:val="clear" w:color="auto" w:fill="FFFFFF"/>
            <w:vAlign w:val="center"/>
          </w:tcPr>
          <w:p w14:paraId="22935242"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9281</w:t>
            </w:r>
          </w:p>
        </w:tc>
        <w:tc>
          <w:tcPr>
            <w:tcW w:w="708" w:type="dxa"/>
            <w:shd w:val="clear" w:color="auto" w:fill="FFFFFF"/>
            <w:vAlign w:val="center"/>
          </w:tcPr>
          <w:p w14:paraId="08C77F47"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10348</w:t>
            </w:r>
          </w:p>
        </w:tc>
        <w:tc>
          <w:tcPr>
            <w:tcW w:w="709" w:type="dxa"/>
            <w:shd w:val="clear" w:color="auto" w:fill="FFFFFF"/>
            <w:vAlign w:val="center"/>
          </w:tcPr>
          <w:p w14:paraId="686A7D57"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366</w:t>
            </w:r>
          </w:p>
        </w:tc>
        <w:tc>
          <w:tcPr>
            <w:tcW w:w="709" w:type="dxa"/>
            <w:shd w:val="clear" w:color="auto" w:fill="FFFFFF"/>
            <w:vAlign w:val="center"/>
          </w:tcPr>
          <w:p w14:paraId="5857556F"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331</w:t>
            </w:r>
          </w:p>
        </w:tc>
        <w:tc>
          <w:tcPr>
            <w:tcW w:w="709" w:type="dxa"/>
            <w:shd w:val="clear" w:color="auto" w:fill="FFFFFF"/>
            <w:vAlign w:val="center"/>
          </w:tcPr>
          <w:p w14:paraId="29757392"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19DF5F44"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29566229" w14:textId="77777777" w:rsidR="0050022E" w:rsidRPr="00E93042" w:rsidRDefault="0050022E" w:rsidP="00583C72">
            <w:pPr>
              <w:jc w:val="center"/>
              <w:rPr>
                <w:rFonts w:ascii="Times New Roman" w:hAnsi="Times New Roman"/>
                <w:color w:val="000000"/>
              </w:rPr>
            </w:pPr>
          </w:p>
        </w:tc>
        <w:tc>
          <w:tcPr>
            <w:tcW w:w="995" w:type="dxa"/>
            <w:shd w:val="clear" w:color="auto" w:fill="FFFFFF"/>
            <w:vAlign w:val="center"/>
          </w:tcPr>
          <w:p w14:paraId="72008A0B"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46 339</w:t>
            </w:r>
          </w:p>
          <w:p w14:paraId="19BCCF52" w14:textId="77777777" w:rsidR="0050022E" w:rsidRPr="00E93042" w:rsidRDefault="0050022E" w:rsidP="00583C72">
            <w:pPr>
              <w:jc w:val="center"/>
              <w:rPr>
                <w:rFonts w:ascii="Times New Roman" w:hAnsi="Times New Roman"/>
                <w:color w:val="000000"/>
              </w:rPr>
            </w:pPr>
          </w:p>
        </w:tc>
      </w:tr>
      <w:tr w:rsidR="00E93042" w:rsidRPr="00E93042" w14:paraId="71F567F9" w14:textId="77777777" w:rsidTr="00583C72">
        <w:trPr>
          <w:trHeight w:val="351"/>
        </w:trPr>
        <w:tc>
          <w:tcPr>
            <w:tcW w:w="2014" w:type="dxa"/>
            <w:shd w:val="clear" w:color="auto" w:fill="FFFFFF"/>
            <w:vAlign w:val="center"/>
          </w:tcPr>
          <w:p w14:paraId="340F6F46" w14:textId="77777777" w:rsidR="0050022E" w:rsidRPr="00E93042" w:rsidRDefault="0050022E" w:rsidP="00583C72">
            <w:pPr>
              <w:rPr>
                <w:rFonts w:ascii="Times New Roman" w:hAnsi="Times New Roman"/>
                <w:color w:val="000000"/>
              </w:rPr>
            </w:pPr>
            <w:r w:rsidRPr="00E93042">
              <w:rPr>
                <w:rFonts w:ascii="Times New Roman" w:hAnsi="Times New Roman"/>
                <w:color w:val="000000"/>
              </w:rPr>
              <w:t>JST</w:t>
            </w:r>
          </w:p>
        </w:tc>
        <w:tc>
          <w:tcPr>
            <w:tcW w:w="851" w:type="dxa"/>
            <w:shd w:val="clear" w:color="auto" w:fill="FFFFFF"/>
            <w:vAlign w:val="center"/>
          </w:tcPr>
          <w:p w14:paraId="4F2C93CA"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-4 000</w:t>
            </w:r>
          </w:p>
        </w:tc>
        <w:tc>
          <w:tcPr>
            <w:tcW w:w="708" w:type="dxa"/>
            <w:shd w:val="clear" w:color="auto" w:fill="FFFFFF"/>
            <w:vAlign w:val="center"/>
          </w:tcPr>
          <w:p w14:paraId="7C2E9188"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-6 000</w:t>
            </w:r>
          </w:p>
        </w:tc>
        <w:tc>
          <w:tcPr>
            <w:tcW w:w="709" w:type="dxa"/>
            <w:shd w:val="clear" w:color="auto" w:fill="FFFFFF"/>
            <w:vAlign w:val="center"/>
          </w:tcPr>
          <w:p w14:paraId="219216DA"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-7 000</w:t>
            </w:r>
          </w:p>
        </w:tc>
        <w:tc>
          <w:tcPr>
            <w:tcW w:w="709" w:type="dxa"/>
            <w:shd w:val="clear" w:color="auto" w:fill="FFFFFF"/>
            <w:vAlign w:val="center"/>
          </w:tcPr>
          <w:p w14:paraId="7C837A30"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-8 000</w:t>
            </w:r>
          </w:p>
        </w:tc>
        <w:tc>
          <w:tcPr>
            <w:tcW w:w="709" w:type="dxa"/>
            <w:shd w:val="clear" w:color="auto" w:fill="FFFFFF"/>
            <w:vAlign w:val="center"/>
          </w:tcPr>
          <w:p w14:paraId="5AF39133"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-9 000</w:t>
            </w:r>
          </w:p>
        </w:tc>
        <w:tc>
          <w:tcPr>
            <w:tcW w:w="708" w:type="dxa"/>
            <w:shd w:val="clear" w:color="auto" w:fill="FFFFFF"/>
            <w:vAlign w:val="center"/>
          </w:tcPr>
          <w:p w14:paraId="4D1644D7"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-10 000</w:t>
            </w:r>
          </w:p>
        </w:tc>
        <w:tc>
          <w:tcPr>
            <w:tcW w:w="709" w:type="dxa"/>
            <w:shd w:val="clear" w:color="auto" w:fill="FFFFFF"/>
            <w:vAlign w:val="center"/>
          </w:tcPr>
          <w:p w14:paraId="6A5BDAD9"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60E7A281"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31520961"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333E91E6"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026FFF39" w14:textId="77777777" w:rsidR="0050022E" w:rsidRPr="00E93042" w:rsidRDefault="0050022E" w:rsidP="00583C72">
            <w:pPr>
              <w:jc w:val="center"/>
              <w:rPr>
                <w:rFonts w:ascii="Times New Roman" w:hAnsi="Times New Roman"/>
                <w:color w:val="000000"/>
              </w:rPr>
            </w:pPr>
          </w:p>
        </w:tc>
        <w:tc>
          <w:tcPr>
            <w:tcW w:w="995" w:type="dxa"/>
            <w:shd w:val="clear" w:color="auto" w:fill="FFFFFF"/>
            <w:vAlign w:val="center"/>
          </w:tcPr>
          <w:p w14:paraId="1D9ED8F1"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-44 000</w:t>
            </w:r>
          </w:p>
        </w:tc>
      </w:tr>
      <w:tr w:rsidR="00E93042" w:rsidRPr="00E93042" w14:paraId="7C5F7046" w14:textId="77777777" w:rsidTr="00583C72">
        <w:trPr>
          <w:trHeight w:val="351"/>
        </w:trPr>
        <w:tc>
          <w:tcPr>
            <w:tcW w:w="2014" w:type="dxa"/>
            <w:shd w:val="clear" w:color="auto" w:fill="FFFFFF"/>
            <w:vAlign w:val="center"/>
          </w:tcPr>
          <w:p w14:paraId="6EA2A4CE" w14:textId="77777777" w:rsidR="0050022E" w:rsidRPr="00E93042" w:rsidRDefault="0050022E" w:rsidP="00583C72">
            <w:pPr>
              <w:rPr>
                <w:rFonts w:ascii="Times New Roman" w:hAnsi="Times New Roman"/>
                <w:color w:val="000000"/>
              </w:rPr>
            </w:pPr>
            <w:r w:rsidRPr="00E93042">
              <w:rPr>
                <w:rFonts w:ascii="Times New Roman" w:hAnsi="Times New Roman"/>
                <w:color w:val="000000"/>
              </w:rPr>
              <w:t>pozostałe jednostki (oddzielnie)</w:t>
            </w:r>
          </w:p>
        </w:tc>
        <w:tc>
          <w:tcPr>
            <w:tcW w:w="851" w:type="dxa"/>
            <w:shd w:val="clear" w:color="auto" w:fill="FFFFFF"/>
            <w:vAlign w:val="center"/>
          </w:tcPr>
          <w:p w14:paraId="70995BA8"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465E40BB"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28E613C9"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1D91D54C"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7EB07ED3"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53FE6A06"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62364E4E"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5866F647"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0102E9DF"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67D2CEF3"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1D5A304C" w14:textId="77777777" w:rsidR="0050022E" w:rsidRPr="00E93042" w:rsidRDefault="0050022E" w:rsidP="00583C72">
            <w:pPr>
              <w:jc w:val="center"/>
              <w:rPr>
                <w:rFonts w:ascii="Times New Roman" w:hAnsi="Times New Roman"/>
                <w:color w:val="000000"/>
              </w:rPr>
            </w:pPr>
          </w:p>
        </w:tc>
        <w:tc>
          <w:tcPr>
            <w:tcW w:w="995" w:type="dxa"/>
            <w:shd w:val="clear" w:color="auto" w:fill="FFFFFF"/>
            <w:vAlign w:val="center"/>
          </w:tcPr>
          <w:p w14:paraId="27FBA7C1" w14:textId="77777777" w:rsidR="0050022E" w:rsidRPr="00E93042" w:rsidRDefault="0050022E" w:rsidP="00583C72">
            <w:pPr>
              <w:jc w:val="center"/>
              <w:rPr>
                <w:rFonts w:ascii="Times New Roman" w:hAnsi="Times New Roman"/>
                <w:color w:val="000000"/>
              </w:rPr>
            </w:pPr>
          </w:p>
        </w:tc>
      </w:tr>
      <w:tr w:rsidR="00E93042" w:rsidRPr="00E93042" w14:paraId="6E4D89EA" w14:textId="77777777" w:rsidTr="00583C72">
        <w:trPr>
          <w:trHeight w:val="360"/>
        </w:trPr>
        <w:tc>
          <w:tcPr>
            <w:tcW w:w="2014" w:type="dxa"/>
            <w:shd w:val="clear" w:color="auto" w:fill="FFFFFF"/>
            <w:vAlign w:val="center"/>
          </w:tcPr>
          <w:p w14:paraId="74633379" w14:textId="77777777" w:rsidR="0050022E" w:rsidRPr="00E93042" w:rsidRDefault="0050022E" w:rsidP="00583C72">
            <w:pPr>
              <w:rPr>
                <w:rFonts w:ascii="Times New Roman" w:hAnsi="Times New Roman"/>
                <w:color w:val="000000"/>
              </w:rPr>
            </w:pPr>
            <w:r w:rsidRPr="00E93042">
              <w:rPr>
                <w:rFonts w:ascii="Times New Roman" w:hAnsi="Times New Roman"/>
                <w:b/>
                <w:color w:val="000000"/>
              </w:rPr>
              <w:t>Saldo ogółem</w:t>
            </w:r>
          </w:p>
        </w:tc>
        <w:tc>
          <w:tcPr>
            <w:tcW w:w="851" w:type="dxa"/>
            <w:shd w:val="clear" w:color="auto" w:fill="FFFFFF"/>
            <w:vAlign w:val="center"/>
          </w:tcPr>
          <w:p w14:paraId="1CBAA783"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- 595</w:t>
            </w:r>
          </w:p>
        </w:tc>
        <w:tc>
          <w:tcPr>
            <w:tcW w:w="708" w:type="dxa"/>
            <w:shd w:val="clear" w:color="auto" w:fill="FFFFFF"/>
            <w:vAlign w:val="center"/>
          </w:tcPr>
          <w:p w14:paraId="3FB91E7D"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-340</w:t>
            </w:r>
          </w:p>
        </w:tc>
        <w:tc>
          <w:tcPr>
            <w:tcW w:w="709" w:type="dxa"/>
            <w:shd w:val="clear" w:color="auto" w:fill="FFFFFF"/>
            <w:vAlign w:val="center"/>
          </w:tcPr>
          <w:p w14:paraId="3BD36958"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-6</w:t>
            </w:r>
          </w:p>
        </w:tc>
        <w:tc>
          <w:tcPr>
            <w:tcW w:w="709" w:type="dxa"/>
            <w:shd w:val="clear" w:color="auto" w:fill="FFFFFF"/>
            <w:vAlign w:val="center"/>
          </w:tcPr>
          <w:p w14:paraId="387D16D5"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-72</w:t>
            </w:r>
          </w:p>
        </w:tc>
        <w:tc>
          <w:tcPr>
            <w:tcW w:w="709" w:type="dxa"/>
            <w:shd w:val="clear" w:color="auto" w:fill="FFFFFF"/>
            <w:vAlign w:val="center"/>
          </w:tcPr>
          <w:p w14:paraId="31E1B642"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-281</w:t>
            </w:r>
          </w:p>
        </w:tc>
        <w:tc>
          <w:tcPr>
            <w:tcW w:w="708" w:type="dxa"/>
            <w:shd w:val="clear" w:color="auto" w:fill="FFFFFF"/>
            <w:vAlign w:val="center"/>
          </w:tcPr>
          <w:p w14:paraId="3B19C364"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-348</w:t>
            </w:r>
          </w:p>
        </w:tc>
        <w:tc>
          <w:tcPr>
            <w:tcW w:w="709" w:type="dxa"/>
            <w:shd w:val="clear" w:color="auto" w:fill="FFFFFF"/>
            <w:vAlign w:val="center"/>
          </w:tcPr>
          <w:p w14:paraId="66699CC1"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-366</w:t>
            </w:r>
          </w:p>
        </w:tc>
        <w:tc>
          <w:tcPr>
            <w:tcW w:w="709" w:type="dxa"/>
            <w:shd w:val="clear" w:color="auto" w:fill="FFFFFF"/>
            <w:vAlign w:val="center"/>
          </w:tcPr>
          <w:p w14:paraId="7CAF989D"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-331</w:t>
            </w:r>
          </w:p>
        </w:tc>
        <w:tc>
          <w:tcPr>
            <w:tcW w:w="709" w:type="dxa"/>
            <w:shd w:val="clear" w:color="auto" w:fill="FFFFFF"/>
            <w:vAlign w:val="center"/>
          </w:tcPr>
          <w:p w14:paraId="777EAC94"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51AF992F"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58947DCF" w14:textId="77777777" w:rsidR="0050022E" w:rsidRPr="00E93042" w:rsidRDefault="0050022E" w:rsidP="00583C72">
            <w:pPr>
              <w:jc w:val="center"/>
              <w:rPr>
                <w:rFonts w:ascii="Times New Roman" w:hAnsi="Times New Roman"/>
                <w:color w:val="000000"/>
              </w:rPr>
            </w:pPr>
          </w:p>
        </w:tc>
        <w:tc>
          <w:tcPr>
            <w:tcW w:w="995" w:type="dxa"/>
            <w:shd w:val="clear" w:color="auto" w:fill="FFFFFF"/>
            <w:vAlign w:val="center"/>
          </w:tcPr>
          <w:p w14:paraId="53AB50F4"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- 2 339</w:t>
            </w:r>
          </w:p>
        </w:tc>
      </w:tr>
      <w:tr w:rsidR="00E93042" w:rsidRPr="00E93042" w14:paraId="0A692DC5" w14:textId="77777777" w:rsidTr="00583C72">
        <w:trPr>
          <w:trHeight w:val="360"/>
        </w:trPr>
        <w:tc>
          <w:tcPr>
            <w:tcW w:w="2014" w:type="dxa"/>
            <w:shd w:val="clear" w:color="auto" w:fill="FFFFFF"/>
            <w:vAlign w:val="center"/>
          </w:tcPr>
          <w:p w14:paraId="2FB0B7B7" w14:textId="77777777" w:rsidR="0050022E" w:rsidRPr="00E93042" w:rsidRDefault="0050022E" w:rsidP="00583C72">
            <w:pPr>
              <w:rPr>
                <w:rFonts w:ascii="Times New Roman" w:hAnsi="Times New Roman"/>
                <w:color w:val="000000"/>
              </w:rPr>
            </w:pPr>
            <w:r w:rsidRPr="00E93042">
              <w:rPr>
                <w:rFonts w:ascii="Times New Roman" w:hAnsi="Times New Roman"/>
                <w:color w:val="000000"/>
              </w:rPr>
              <w:t>budżet państwa</w:t>
            </w:r>
          </w:p>
        </w:tc>
        <w:tc>
          <w:tcPr>
            <w:tcW w:w="851" w:type="dxa"/>
            <w:shd w:val="clear" w:color="auto" w:fill="FFFFFF"/>
            <w:vAlign w:val="center"/>
          </w:tcPr>
          <w:p w14:paraId="2984BBED"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- 4595</w:t>
            </w:r>
          </w:p>
        </w:tc>
        <w:tc>
          <w:tcPr>
            <w:tcW w:w="708" w:type="dxa"/>
            <w:shd w:val="clear" w:color="auto" w:fill="FFFFFF"/>
            <w:vAlign w:val="center"/>
          </w:tcPr>
          <w:p w14:paraId="642A41C5"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-6340</w:t>
            </w:r>
          </w:p>
        </w:tc>
        <w:tc>
          <w:tcPr>
            <w:tcW w:w="709" w:type="dxa"/>
            <w:shd w:val="clear" w:color="auto" w:fill="FFFFFF"/>
            <w:vAlign w:val="center"/>
          </w:tcPr>
          <w:p w14:paraId="442A1821"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-7006</w:t>
            </w:r>
          </w:p>
        </w:tc>
        <w:tc>
          <w:tcPr>
            <w:tcW w:w="709" w:type="dxa"/>
            <w:shd w:val="clear" w:color="auto" w:fill="FFFFFF"/>
            <w:vAlign w:val="center"/>
          </w:tcPr>
          <w:p w14:paraId="1DEC839B"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-8072</w:t>
            </w:r>
          </w:p>
        </w:tc>
        <w:tc>
          <w:tcPr>
            <w:tcW w:w="709" w:type="dxa"/>
            <w:shd w:val="clear" w:color="auto" w:fill="FFFFFF"/>
            <w:vAlign w:val="center"/>
          </w:tcPr>
          <w:p w14:paraId="15818E14"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-9281</w:t>
            </w:r>
          </w:p>
        </w:tc>
        <w:tc>
          <w:tcPr>
            <w:tcW w:w="708" w:type="dxa"/>
            <w:shd w:val="clear" w:color="auto" w:fill="FFFFFF"/>
            <w:vAlign w:val="center"/>
          </w:tcPr>
          <w:p w14:paraId="263454A8"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-10348</w:t>
            </w:r>
          </w:p>
        </w:tc>
        <w:tc>
          <w:tcPr>
            <w:tcW w:w="709" w:type="dxa"/>
            <w:shd w:val="clear" w:color="auto" w:fill="FFFFFF"/>
            <w:vAlign w:val="center"/>
          </w:tcPr>
          <w:p w14:paraId="40A07E22"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- 366</w:t>
            </w:r>
          </w:p>
        </w:tc>
        <w:tc>
          <w:tcPr>
            <w:tcW w:w="709" w:type="dxa"/>
            <w:shd w:val="clear" w:color="auto" w:fill="FFFFFF"/>
            <w:vAlign w:val="center"/>
          </w:tcPr>
          <w:p w14:paraId="6813B4AB"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- 331</w:t>
            </w:r>
          </w:p>
        </w:tc>
        <w:tc>
          <w:tcPr>
            <w:tcW w:w="709" w:type="dxa"/>
            <w:shd w:val="clear" w:color="auto" w:fill="FFFFFF"/>
            <w:vAlign w:val="center"/>
          </w:tcPr>
          <w:p w14:paraId="5706E78D"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3EEDE77C"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47D66307" w14:textId="77777777" w:rsidR="0050022E" w:rsidRPr="00E93042" w:rsidRDefault="0050022E" w:rsidP="00583C72">
            <w:pPr>
              <w:jc w:val="center"/>
              <w:rPr>
                <w:rFonts w:ascii="Times New Roman" w:hAnsi="Times New Roman"/>
                <w:color w:val="000000"/>
              </w:rPr>
            </w:pPr>
          </w:p>
        </w:tc>
        <w:tc>
          <w:tcPr>
            <w:tcW w:w="995" w:type="dxa"/>
            <w:shd w:val="clear" w:color="auto" w:fill="FFFFFF"/>
            <w:vAlign w:val="center"/>
          </w:tcPr>
          <w:p w14:paraId="06A1DB5D"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-46 339</w:t>
            </w:r>
          </w:p>
        </w:tc>
      </w:tr>
      <w:tr w:rsidR="00E93042" w:rsidRPr="00E93042" w14:paraId="30A32076" w14:textId="77777777" w:rsidTr="00583C72">
        <w:trPr>
          <w:trHeight w:val="357"/>
        </w:trPr>
        <w:tc>
          <w:tcPr>
            <w:tcW w:w="2014" w:type="dxa"/>
            <w:shd w:val="clear" w:color="auto" w:fill="FFFFFF"/>
            <w:vAlign w:val="center"/>
          </w:tcPr>
          <w:p w14:paraId="000D8DC7" w14:textId="77777777" w:rsidR="0050022E" w:rsidRPr="00E93042" w:rsidRDefault="0050022E" w:rsidP="00583C72">
            <w:pPr>
              <w:rPr>
                <w:rFonts w:ascii="Times New Roman" w:hAnsi="Times New Roman"/>
                <w:color w:val="000000"/>
              </w:rPr>
            </w:pPr>
            <w:r w:rsidRPr="00E93042">
              <w:rPr>
                <w:rFonts w:ascii="Times New Roman" w:hAnsi="Times New Roman"/>
                <w:color w:val="000000"/>
              </w:rPr>
              <w:t>JST</w:t>
            </w:r>
          </w:p>
        </w:tc>
        <w:tc>
          <w:tcPr>
            <w:tcW w:w="851" w:type="dxa"/>
            <w:shd w:val="clear" w:color="auto" w:fill="FFFFFF"/>
            <w:vAlign w:val="center"/>
          </w:tcPr>
          <w:p w14:paraId="2304A90B"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0</w:t>
            </w:r>
          </w:p>
        </w:tc>
        <w:tc>
          <w:tcPr>
            <w:tcW w:w="708" w:type="dxa"/>
            <w:shd w:val="clear" w:color="auto" w:fill="FFFFFF"/>
            <w:vAlign w:val="center"/>
          </w:tcPr>
          <w:p w14:paraId="04D5C2C0"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0</w:t>
            </w:r>
          </w:p>
        </w:tc>
        <w:tc>
          <w:tcPr>
            <w:tcW w:w="709" w:type="dxa"/>
            <w:shd w:val="clear" w:color="auto" w:fill="FFFFFF"/>
            <w:vAlign w:val="center"/>
          </w:tcPr>
          <w:p w14:paraId="179CDFE6"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0</w:t>
            </w:r>
          </w:p>
        </w:tc>
        <w:tc>
          <w:tcPr>
            <w:tcW w:w="709" w:type="dxa"/>
            <w:shd w:val="clear" w:color="auto" w:fill="FFFFFF"/>
            <w:vAlign w:val="center"/>
          </w:tcPr>
          <w:p w14:paraId="78462B1B"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0</w:t>
            </w:r>
          </w:p>
        </w:tc>
        <w:tc>
          <w:tcPr>
            <w:tcW w:w="709" w:type="dxa"/>
            <w:shd w:val="clear" w:color="auto" w:fill="FFFFFF"/>
            <w:vAlign w:val="center"/>
          </w:tcPr>
          <w:p w14:paraId="36F09F9F"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0</w:t>
            </w:r>
          </w:p>
        </w:tc>
        <w:tc>
          <w:tcPr>
            <w:tcW w:w="708" w:type="dxa"/>
            <w:shd w:val="clear" w:color="auto" w:fill="FFFFFF"/>
            <w:vAlign w:val="center"/>
          </w:tcPr>
          <w:p w14:paraId="4828777E"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0</w:t>
            </w:r>
          </w:p>
        </w:tc>
        <w:tc>
          <w:tcPr>
            <w:tcW w:w="709" w:type="dxa"/>
            <w:shd w:val="clear" w:color="auto" w:fill="FFFFFF"/>
            <w:vAlign w:val="center"/>
          </w:tcPr>
          <w:p w14:paraId="537D09B8"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7EEAB5BA"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0D4A9144"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00B39860"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04E956F9" w14:textId="77777777" w:rsidR="0050022E" w:rsidRPr="00E93042" w:rsidRDefault="0050022E" w:rsidP="00583C72">
            <w:pPr>
              <w:jc w:val="center"/>
              <w:rPr>
                <w:rFonts w:ascii="Times New Roman" w:hAnsi="Times New Roman"/>
                <w:color w:val="000000"/>
              </w:rPr>
            </w:pPr>
          </w:p>
        </w:tc>
        <w:tc>
          <w:tcPr>
            <w:tcW w:w="995" w:type="dxa"/>
            <w:shd w:val="clear" w:color="auto" w:fill="FFFFFF"/>
            <w:vAlign w:val="center"/>
          </w:tcPr>
          <w:p w14:paraId="06BA3580" w14:textId="77777777" w:rsidR="0050022E" w:rsidRPr="00E93042" w:rsidRDefault="0050022E" w:rsidP="00583C72">
            <w:pPr>
              <w:jc w:val="center"/>
              <w:rPr>
                <w:rFonts w:ascii="Times New Roman" w:hAnsi="Times New Roman"/>
                <w:color w:val="000000"/>
              </w:rPr>
            </w:pPr>
            <w:r w:rsidRPr="00E93042">
              <w:rPr>
                <w:rFonts w:ascii="Times New Roman" w:hAnsi="Times New Roman"/>
                <w:color w:val="000000"/>
              </w:rPr>
              <w:t>0</w:t>
            </w:r>
          </w:p>
        </w:tc>
      </w:tr>
      <w:tr w:rsidR="00E93042" w:rsidRPr="00E93042" w14:paraId="69B63455" w14:textId="77777777" w:rsidTr="00583C72">
        <w:trPr>
          <w:trHeight w:val="357"/>
        </w:trPr>
        <w:tc>
          <w:tcPr>
            <w:tcW w:w="2014" w:type="dxa"/>
            <w:shd w:val="clear" w:color="auto" w:fill="FFFFFF"/>
            <w:vAlign w:val="center"/>
          </w:tcPr>
          <w:p w14:paraId="7D2128D5" w14:textId="77777777" w:rsidR="0050022E" w:rsidRPr="00E93042" w:rsidRDefault="0050022E" w:rsidP="00583C72">
            <w:pPr>
              <w:rPr>
                <w:rFonts w:ascii="Times New Roman" w:hAnsi="Times New Roman"/>
                <w:color w:val="000000"/>
              </w:rPr>
            </w:pPr>
            <w:r w:rsidRPr="00E93042">
              <w:rPr>
                <w:rFonts w:ascii="Times New Roman" w:hAnsi="Times New Roman"/>
                <w:color w:val="000000"/>
              </w:rPr>
              <w:t>pozostałe jednostki (oddzielnie)</w:t>
            </w:r>
          </w:p>
        </w:tc>
        <w:tc>
          <w:tcPr>
            <w:tcW w:w="851" w:type="dxa"/>
            <w:shd w:val="clear" w:color="auto" w:fill="FFFFFF"/>
            <w:vAlign w:val="center"/>
          </w:tcPr>
          <w:p w14:paraId="7C288137"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38F21557" w14:textId="77777777" w:rsidR="0050022E" w:rsidRPr="00E93042" w:rsidRDefault="0050022E" w:rsidP="00583C72">
            <w:pPr>
              <w:jc w:val="center"/>
              <w:rPr>
                <w:rFonts w:ascii="Times New Roman" w:eastAsia="Times New Roman" w:hAnsi="Times New Roman"/>
                <w:bCs/>
              </w:rPr>
            </w:pPr>
          </w:p>
        </w:tc>
        <w:tc>
          <w:tcPr>
            <w:tcW w:w="709" w:type="dxa"/>
            <w:shd w:val="clear" w:color="auto" w:fill="FFFFFF"/>
            <w:vAlign w:val="center"/>
          </w:tcPr>
          <w:p w14:paraId="3A2975E9"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639D342C"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20E77598"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6A971A7D"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41E0182F"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4D0C96B2"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76FDF969" w14:textId="77777777" w:rsidR="0050022E" w:rsidRPr="00E93042" w:rsidRDefault="0050022E" w:rsidP="00583C72">
            <w:pPr>
              <w:jc w:val="center"/>
              <w:rPr>
                <w:rFonts w:ascii="Times New Roman" w:hAnsi="Times New Roman"/>
                <w:color w:val="000000"/>
              </w:rPr>
            </w:pPr>
          </w:p>
        </w:tc>
        <w:tc>
          <w:tcPr>
            <w:tcW w:w="708" w:type="dxa"/>
            <w:shd w:val="clear" w:color="auto" w:fill="FFFFFF"/>
            <w:vAlign w:val="center"/>
          </w:tcPr>
          <w:p w14:paraId="08562DAE" w14:textId="77777777" w:rsidR="0050022E" w:rsidRPr="00E93042" w:rsidRDefault="0050022E" w:rsidP="00583C72">
            <w:pPr>
              <w:jc w:val="center"/>
              <w:rPr>
                <w:rFonts w:ascii="Times New Roman" w:hAnsi="Times New Roman"/>
                <w:color w:val="000000"/>
              </w:rPr>
            </w:pPr>
          </w:p>
        </w:tc>
        <w:tc>
          <w:tcPr>
            <w:tcW w:w="709" w:type="dxa"/>
            <w:shd w:val="clear" w:color="auto" w:fill="FFFFFF"/>
            <w:vAlign w:val="center"/>
          </w:tcPr>
          <w:p w14:paraId="6D231B7D" w14:textId="77777777" w:rsidR="0050022E" w:rsidRPr="00E93042" w:rsidRDefault="0050022E" w:rsidP="00583C72">
            <w:pPr>
              <w:jc w:val="center"/>
              <w:rPr>
                <w:rFonts w:ascii="Times New Roman" w:hAnsi="Times New Roman"/>
                <w:color w:val="000000"/>
              </w:rPr>
            </w:pPr>
          </w:p>
        </w:tc>
        <w:tc>
          <w:tcPr>
            <w:tcW w:w="995" w:type="dxa"/>
            <w:shd w:val="clear" w:color="auto" w:fill="FFFFFF"/>
            <w:vAlign w:val="center"/>
          </w:tcPr>
          <w:p w14:paraId="76E27BD9" w14:textId="77777777" w:rsidR="0050022E" w:rsidRPr="00E93042" w:rsidRDefault="0050022E" w:rsidP="00583C72">
            <w:pPr>
              <w:jc w:val="center"/>
              <w:rPr>
                <w:rFonts w:ascii="Times New Roman" w:hAnsi="Times New Roman"/>
                <w:color w:val="000000"/>
              </w:rPr>
            </w:pPr>
          </w:p>
        </w:tc>
      </w:tr>
    </w:tbl>
    <w:p w14:paraId="0E028E81" w14:textId="77777777" w:rsidR="0050022E" w:rsidRPr="00E93042" w:rsidRDefault="0050022E" w:rsidP="0050022E">
      <w:pPr>
        <w:jc w:val="both"/>
        <w:rPr>
          <w:rFonts w:ascii="Times New Roman" w:hAnsi="Times New Roman"/>
        </w:rPr>
      </w:pPr>
    </w:p>
    <w:p w14:paraId="13219460" w14:textId="77777777" w:rsidR="0050022E" w:rsidRPr="00E93042" w:rsidRDefault="0050022E" w:rsidP="0050022E">
      <w:pPr>
        <w:jc w:val="both"/>
        <w:rPr>
          <w:rFonts w:ascii="Times New Roman" w:hAnsi="Times New Roman"/>
        </w:rPr>
      </w:pPr>
      <w:r w:rsidRPr="00E93042">
        <w:rPr>
          <w:rFonts w:ascii="Times New Roman" w:hAnsi="Times New Roman"/>
        </w:rPr>
        <w:t>[7] Wykaz źródeł finansowania, jeśli projekt ustawy pociąga za sobą obciążenie budżetu państwa lub budżetów jednostek samorządu terytorialnego.</w:t>
      </w:r>
    </w:p>
    <w:tbl>
      <w:tblPr>
        <w:tblStyle w:val="Tabela-Siatka"/>
        <w:tblW w:w="0" w:type="auto"/>
        <w:tblLook w:val="04A0" w:firstRow="1" w:lastRow="0" w:firstColumn="1" w:lastColumn="0" w:noHBand="0" w:noVBand="1"/>
      </w:tblPr>
      <w:tblGrid>
        <w:gridCol w:w="9062"/>
      </w:tblGrid>
      <w:tr w:rsidR="0050022E" w:rsidRPr="00E93042" w14:paraId="724BB0A5" w14:textId="77777777" w:rsidTr="00583C72">
        <w:tc>
          <w:tcPr>
            <w:tcW w:w="9060" w:type="dxa"/>
          </w:tcPr>
          <w:p w14:paraId="0A45F27B" w14:textId="77777777" w:rsidR="0050022E" w:rsidRPr="00E93042" w:rsidRDefault="0050022E" w:rsidP="00583C72">
            <w:pPr>
              <w:spacing w:before="120" w:after="120"/>
              <w:jc w:val="both"/>
              <w:rPr>
                <w:rFonts w:ascii="Times New Roman" w:eastAsia="Times New Roman" w:hAnsi="Times New Roman"/>
                <w:b/>
                <w:i/>
                <w:iCs/>
                <w:u w:val="single"/>
              </w:rPr>
            </w:pPr>
            <w:r w:rsidRPr="00E93042">
              <w:rPr>
                <w:rFonts w:ascii="Times New Roman" w:eastAsia="Times New Roman" w:hAnsi="Times New Roman"/>
                <w:b/>
                <w:i/>
                <w:iCs/>
                <w:u w:val="single"/>
              </w:rPr>
              <w:t>Programy BSK / SBC</w:t>
            </w:r>
          </w:p>
          <w:p w14:paraId="387416BA"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Zasilenie Funduszu Dopłat z przeznaczeniem na wypłaty finansowego wsparcia w programach BSK i SBC odbywa się z wydatków pozostających w dyspozycji ministra właściwego do spraw budownictwa, planowania i zagospodarowania przestrzennego oraz mieszkalnictwa. W związku z </w:t>
            </w:r>
            <w:r w:rsidRPr="00E93042">
              <w:rPr>
                <w:rFonts w:ascii="Times New Roman" w:eastAsia="Times New Roman" w:hAnsi="Times New Roman"/>
                <w:bCs/>
              </w:rPr>
              <w:lastRenderedPageBreak/>
              <w:t>powyższym plan finansowy na 2025–2030 r. dla części 18 powinien zostać zwiększony. Podkreślenia jednak wymaga, że faktyczne zwiększenie wydatków budżetu państwa na zasilenie Funduszu Dopłat będzie uzależnione od corocznie ustalanego limitu wydatków na programy mieszkaniowe podczas prac nad ustawą budżetową i po akceptacji Rady Ministrów oraz będzie uzależnione od możliwości finansowych budżetu państwa.</w:t>
            </w:r>
          </w:p>
          <w:p w14:paraId="5898A055"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Wydatki budżetu państwa na zasilenie Funduszu Dopłat, na realizację programu BSK i SBC zostały jednocześnie zaliczone jako oszczędność JST (czyli środki których gmina nie wyda, będąc zobligowaną do realizacji zadania własnego, jakim jest zabezpieczenie potrzeb mieszkaniowych lokalnej społeczności). W zakresie programu BSK finansowe wsparcie jest udzielane jako bezzwrotny grant dla samorządu, natomiast w zakresie programu SBC środki zasilające Fundusz Dopłat, stanowią dopłatę dla BGK do oprocentowania preferencyjnego (płaconego przez inwestora, którego właścicielem jest zazwyczaj samorząd – WIBOR 3M). Pomimo różnego charakteru wsparcia udzielanego w ramach obu programów, w ocenie projektodawcy, dopłata w ramach programu SBC również stanowi oszczędność JST. W przypadku, gdyby spółka gminna chciała finansować swoją działalność kredytami komercyjnymi, musiałaby pokryć oprocentowanie kredytu w całości. Zatem pomimo, iż środki trafiają jednocześnie do BGK jako „cena” za preferencyjne oprocentowanie oferowane inwestorom przez Bank, w powyższych skutkach budżetowych zostały również wykazane jako skutek dla JST. </w:t>
            </w:r>
          </w:p>
        </w:tc>
      </w:tr>
      <w:tr w:rsidR="0050022E" w:rsidRPr="00E93042" w14:paraId="573AA8FE" w14:textId="77777777" w:rsidTr="00583C72">
        <w:tc>
          <w:tcPr>
            <w:tcW w:w="9060" w:type="dxa"/>
          </w:tcPr>
          <w:p w14:paraId="5CC4ACFD" w14:textId="77777777" w:rsidR="0050022E" w:rsidRPr="00E93042" w:rsidRDefault="0050022E" w:rsidP="00583C72">
            <w:pPr>
              <w:spacing w:before="120" w:after="120"/>
              <w:jc w:val="both"/>
              <w:rPr>
                <w:rFonts w:ascii="Times New Roman" w:eastAsia="Times New Roman" w:hAnsi="Times New Roman"/>
                <w:b/>
                <w:bCs/>
                <w:color w:val="000000" w:themeColor="text1"/>
              </w:rPr>
            </w:pPr>
            <w:r w:rsidRPr="00E93042">
              <w:rPr>
                <w:rFonts w:ascii="Times New Roman" w:eastAsia="Times New Roman" w:hAnsi="Times New Roman"/>
                <w:b/>
                <w:bCs/>
                <w:color w:val="000000" w:themeColor="text1"/>
              </w:rPr>
              <w:lastRenderedPageBreak/>
              <w:t>Dodatkowe informacje dot.  finansowania projektu ustawy:</w:t>
            </w:r>
          </w:p>
          <w:p w14:paraId="002D5A47" w14:textId="77777777" w:rsidR="0050022E" w:rsidRPr="00E93042" w:rsidRDefault="0050022E" w:rsidP="00583C72">
            <w:pPr>
              <w:spacing w:before="120" w:after="120"/>
              <w:jc w:val="both"/>
              <w:rPr>
                <w:rFonts w:ascii="Times New Roman" w:eastAsia="Times New Roman" w:hAnsi="Times New Roman"/>
                <w:b/>
                <w:bCs/>
                <w:i/>
                <w:iCs/>
                <w:color w:val="000000" w:themeColor="text1"/>
                <w:u w:val="single"/>
              </w:rPr>
            </w:pPr>
            <w:r w:rsidRPr="00E93042">
              <w:rPr>
                <w:rFonts w:ascii="Times New Roman" w:eastAsia="Times New Roman" w:hAnsi="Times New Roman"/>
                <w:b/>
                <w:bCs/>
                <w:i/>
                <w:iCs/>
                <w:color w:val="000000" w:themeColor="text1"/>
                <w:u w:val="single"/>
              </w:rPr>
              <w:t>Programy BSK / SBC</w:t>
            </w:r>
          </w:p>
          <w:p w14:paraId="66ED0CA3"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Dodatkowe środki budżetu państwa w łącznej kwocie 44 mld zł do 2030 r. będą wykorzystywane na realizację następujących zadań:</w:t>
            </w:r>
          </w:p>
          <w:p w14:paraId="2F0AC7EC" w14:textId="77777777" w:rsidR="0050022E" w:rsidRPr="00E93042" w:rsidRDefault="0050022E" w:rsidP="0050022E">
            <w:pPr>
              <w:numPr>
                <w:ilvl w:val="0"/>
                <w:numId w:val="9"/>
              </w:numPr>
              <w:spacing w:before="120" w:after="120" w:line="240" w:lineRule="auto"/>
              <w:ind w:left="321"/>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Zwiększenie skali inwestycji finansowanych w ramach programu BSK, w tym remontów gminnych pustostanów, odpowiadającej zgłaszanemu przez samorządy zapotrzebowaniu na bezzwrotne granty.</w:t>
            </w:r>
          </w:p>
          <w:p w14:paraId="4BA47084" w14:textId="77777777" w:rsidR="0050022E" w:rsidRPr="00E93042" w:rsidRDefault="0050022E" w:rsidP="0050022E">
            <w:pPr>
              <w:numPr>
                <w:ilvl w:val="0"/>
                <w:numId w:val="9"/>
              </w:numPr>
              <w:spacing w:before="120" w:after="120" w:line="240" w:lineRule="auto"/>
              <w:ind w:left="321"/>
              <w:jc w:val="both"/>
              <w:rPr>
                <w:rFonts w:ascii="Times New Roman" w:eastAsia="Times New Roman" w:hAnsi="Times New Roman"/>
                <w:bCs/>
              </w:rPr>
            </w:pPr>
            <w:r w:rsidRPr="00E93042">
              <w:rPr>
                <w:rFonts w:ascii="Times New Roman" w:eastAsia="Times New Roman" w:hAnsi="Times New Roman"/>
                <w:bCs/>
              </w:rPr>
              <w:t>Umożliwienie, w ramach programu BSK, finansowania powierzchni zaspokajających potrzeby mieszkaniowe studentów.</w:t>
            </w:r>
          </w:p>
          <w:p w14:paraId="7E7D523D" w14:textId="77777777" w:rsidR="0050022E" w:rsidRPr="00E93042" w:rsidRDefault="0050022E" w:rsidP="0050022E">
            <w:pPr>
              <w:numPr>
                <w:ilvl w:val="0"/>
                <w:numId w:val="9"/>
              </w:numPr>
              <w:spacing w:before="120" w:after="120" w:line="240" w:lineRule="auto"/>
              <w:ind w:left="321"/>
              <w:jc w:val="both"/>
              <w:rPr>
                <w:rFonts w:ascii="Times New Roman" w:eastAsia="Times New Roman" w:hAnsi="Times New Roman"/>
                <w:bCs/>
                <w:u w:val="single"/>
              </w:rPr>
            </w:pPr>
            <w:r w:rsidRPr="00E93042">
              <w:rPr>
                <w:rFonts w:ascii="Times New Roman" w:eastAsia="Times New Roman" w:hAnsi="Times New Roman"/>
                <w:bCs/>
              </w:rPr>
              <w:t xml:space="preserve">Zwiększenie skali programu SBC w roku 2025 i kontynuacja w 2026 r., w wyniku czego jest konieczne zagwarantowanie zwiększonych środków na dopłatę dla BGK do preferencyjnego oprocentowania kredytów udzielanych przez ten bank. </w:t>
            </w:r>
          </w:p>
          <w:p w14:paraId="28C8E9A5" w14:textId="77777777" w:rsidR="0050022E" w:rsidRPr="00E93042" w:rsidRDefault="0050022E" w:rsidP="00583C72">
            <w:pPr>
              <w:spacing w:before="120" w:after="120"/>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 xml:space="preserve">Do oszacowania wysokości dodatkowych środków koniecznych do zasilenia Funduszu Dopłat w 2025 r. </w:t>
            </w:r>
            <w:r w:rsidRPr="00E93042">
              <w:rPr>
                <w:rFonts w:ascii="Times New Roman" w:eastAsia="Times New Roman" w:hAnsi="Times New Roman"/>
                <w:bCs/>
              </w:rPr>
              <w:t xml:space="preserve">i kolejnych latach </w:t>
            </w:r>
            <w:r w:rsidRPr="00E93042">
              <w:rPr>
                <w:rFonts w:ascii="Times New Roman" w:eastAsia="Times New Roman" w:hAnsi="Times New Roman"/>
                <w:bCs/>
                <w:color w:val="000000" w:themeColor="text1"/>
              </w:rPr>
              <w:t>na program BSK przyjęto przede wszystkim aktywność beneficjentów programu BSK z lat 2020–2024 (wg danych BGK).</w:t>
            </w:r>
          </w:p>
          <w:p w14:paraId="3EB81F9B" w14:textId="77777777" w:rsidR="0050022E" w:rsidRPr="00E93042" w:rsidRDefault="0050022E" w:rsidP="00583C72">
            <w:pPr>
              <w:spacing w:before="120" w:after="120"/>
              <w:jc w:val="both"/>
              <w:rPr>
                <w:rFonts w:ascii="Times New Roman" w:eastAsia="Times New Roman" w:hAnsi="Times New Roman"/>
                <w:i/>
                <w:iCs/>
                <w:color w:val="000000" w:themeColor="text1"/>
              </w:rPr>
            </w:pPr>
            <w:r w:rsidRPr="00E93042">
              <w:rPr>
                <w:rFonts w:ascii="Times New Roman" w:eastAsia="Times New Roman" w:hAnsi="Times New Roman"/>
                <w:i/>
                <w:iCs/>
                <w:color w:val="000000" w:themeColor="text1"/>
              </w:rPr>
              <w:t>Wnioski złożone w latach 2020–2023 w ramach programu BSK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1693"/>
              <w:gridCol w:w="2467"/>
              <w:gridCol w:w="2068"/>
              <w:gridCol w:w="1952"/>
            </w:tblGrid>
            <w:tr w:rsidR="0050022E" w:rsidRPr="00E93042" w14:paraId="4E9EE007" w14:textId="77777777" w:rsidTr="00583C72">
              <w:trPr>
                <w:trHeight w:val="77"/>
              </w:trPr>
              <w:tc>
                <w:tcPr>
                  <w:tcW w:w="324" w:type="pct"/>
                  <w:shd w:val="clear" w:color="auto" w:fill="F2F2F2" w:themeFill="background1" w:themeFillShade="F2"/>
                  <w:tcMar>
                    <w:top w:w="0" w:type="dxa"/>
                    <w:left w:w="108" w:type="dxa"/>
                    <w:bottom w:w="0" w:type="dxa"/>
                    <w:right w:w="108" w:type="dxa"/>
                  </w:tcMar>
                  <w:hideMark/>
                </w:tcPr>
                <w:p w14:paraId="38A14DC8"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Rok</w:t>
                  </w:r>
                </w:p>
              </w:tc>
              <w:tc>
                <w:tcPr>
                  <w:tcW w:w="970" w:type="pct"/>
                  <w:shd w:val="clear" w:color="auto" w:fill="F2F2F2" w:themeFill="background1" w:themeFillShade="F2"/>
                  <w:tcMar>
                    <w:top w:w="0" w:type="dxa"/>
                    <w:left w:w="108" w:type="dxa"/>
                    <w:bottom w:w="0" w:type="dxa"/>
                    <w:right w:w="108" w:type="dxa"/>
                  </w:tcMar>
                  <w:hideMark/>
                </w:tcPr>
                <w:p w14:paraId="1F31CEA5" w14:textId="77777777" w:rsidR="0050022E" w:rsidRPr="00E93042" w:rsidRDefault="0050022E" w:rsidP="00583C72">
                  <w:pPr>
                    <w:ind w:left="-54" w:right="-310"/>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Liczba wniosków</w:t>
                  </w:r>
                </w:p>
              </w:tc>
              <w:tc>
                <w:tcPr>
                  <w:tcW w:w="1408" w:type="pct"/>
                  <w:shd w:val="clear" w:color="auto" w:fill="F2F2F2" w:themeFill="background1" w:themeFillShade="F2"/>
                  <w:tcMar>
                    <w:top w:w="0" w:type="dxa"/>
                    <w:left w:w="108" w:type="dxa"/>
                    <w:bottom w:w="0" w:type="dxa"/>
                    <w:right w:w="108" w:type="dxa"/>
                  </w:tcMar>
                  <w:hideMark/>
                </w:tcPr>
                <w:p w14:paraId="54D15360" w14:textId="77777777" w:rsidR="0050022E" w:rsidRPr="00E93042" w:rsidRDefault="0050022E" w:rsidP="00583C72">
                  <w:pPr>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Liczba tworzonych lokali/miejsc</w:t>
                  </w:r>
                </w:p>
              </w:tc>
              <w:tc>
                <w:tcPr>
                  <w:tcW w:w="1182" w:type="pct"/>
                  <w:shd w:val="clear" w:color="auto" w:fill="F2F2F2" w:themeFill="background1" w:themeFillShade="F2"/>
                  <w:tcMar>
                    <w:top w:w="0" w:type="dxa"/>
                    <w:left w:w="108" w:type="dxa"/>
                    <w:bottom w:w="0" w:type="dxa"/>
                    <w:right w:w="108" w:type="dxa"/>
                  </w:tcMar>
                  <w:hideMark/>
                </w:tcPr>
                <w:p w14:paraId="7D7875FE" w14:textId="77777777" w:rsidR="0050022E" w:rsidRPr="00E93042" w:rsidRDefault="0050022E" w:rsidP="00583C72">
                  <w:pPr>
                    <w:ind w:left="40"/>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Wnioskowana kwota wsparcia</w:t>
                  </w:r>
                </w:p>
              </w:tc>
              <w:tc>
                <w:tcPr>
                  <w:tcW w:w="1117" w:type="pct"/>
                  <w:shd w:val="clear" w:color="auto" w:fill="F2F2F2" w:themeFill="background1" w:themeFillShade="F2"/>
                  <w:hideMark/>
                </w:tcPr>
                <w:p w14:paraId="1153959A" w14:textId="77777777" w:rsidR="0050022E" w:rsidRPr="00E93042" w:rsidRDefault="0050022E" w:rsidP="00583C72">
                  <w:pPr>
                    <w:ind w:left="49"/>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Aneksy zwiększające wsparcie</w:t>
                  </w:r>
                </w:p>
              </w:tc>
            </w:tr>
            <w:tr w:rsidR="0050022E" w:rsidRPr="00E93042" w14:paraId="6D37697E" w14:textId="77777777" w:rsidTr="00583C72">
              <w:trPr>
                <w:trHeight w:val="213"/>
              </w:trPr>
              <w:tc>
                <w:tcPr>
                  <w:tcW w:w="324" w:type="pct"/>
                  <w:tcMar>
                    <w:top w:w="0" w:type="dxa"/>
                    <w:left w:w="108" w:type="dxa"/>
                    <w:bottom w:w="0" w:type="dxa"/>
                    <w:right w:w="108" w:type="dxa"/>
                  </w:tcMar>
                  <w:hideMark/>
                </w:tcPr>
                <w:p w14:paraId="40055764" w14:textId="77777777" w:rsidR="0050022E" w:rsidRPr="00E93042" w:rsidRDefault="0050022E" w:rsidP="00583C72">
                  <w:pPr>
                    <w:ind w:left="-255" w:firstLine="255"/>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2020</w:t>
                  </w:r>
                </w:p>
              </w:tc>
              <w:tc>
                <w:tcPr>
                  <w:tcW w:w="970" w:type="pct"/>
                  <w:tcMar>
                    <w:top w:w="0" w:type="dxa"/>
                    <w:left w:w="108" w:type="dxa"/>
                    <w:bottom w:w="0" w:type="dxa"/>
                    <w:right w:w="108" w:type="dxa"/>
                  </w:tcMar>
                  <w:hideMark/>
                </w:tcPr>
                <w:p w14:paraId="27F671EB"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71</w:t>
                  </w:r>
                </w:p>
              </w:tc>
              <w:tc>
                <w:tcPr>
                  <w:tcW w:w="1408" w:type="pct"/>
                  <w:tcMar>
                    <w:top w:w="0" w:type="dxa"/>
                    <w:left w:w="108" w:type="dxa"/>
                    <w:bottom w:w="0" w:type="dxa"/>
                    <w:right w:w="108" w:type="dxa"/>
                  </w:tcMar>
                  <w:hideMark/>
                </w:tcPr>
                <w:p w14:paraId="347D0F00"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3 025</w:t>
                  </w:r>
                </w:p>
              </w:tc>
              <w:tc>
                <w:tcPr>
                  <w:tcW w:w="1182" w:type="pct"/>
                  <w:tcMar>
                    <w:top w:w="0" w:type="dxa"/>
                    <w:left w:w="108" w:type="dxa"/>
                    <w:bottom w:w="0" w:type="dxa"/>
                    <w:right w:w="108" w:type="dxa"/>
                  </w:tcMar>
                  <w:hideMark/>
                </w:tcPr>
                <w:p w14:paraId="3CB5498B"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162 mln zł</w:t>
                  </w:r>
                </w:p>
              </w:tc>
              <w:tc>
                <w:tcPr>
                  <w:tcW w:w="1117" w:type="pct"/>
                  <w:hideMark/>
                </w:tcPr>
                <w:p w14:paraId="11D32B79"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0</w:t>
                  </w:r>
                </w:p>
              </w:tc>
            </w:tr>
            <w:tr w:rsidR="0050022E" w:rsidRPr="00E93042" w14:paraId="631DFCF8" w14:textId="77777777" w:rsidTr="00583C72">
              <w:trPr>
                <w:trHeight w:val="276"/>
              </w:trPr>
              <w:tc>
                <w:tcPr>
                  <w:tcW w:w="324" w:type="pct"/>
                  <w:tcMar>
                    <w:top w:w="0" w:type="dxa"/>
                    <w:left w:w="108" w:type="dxa"/>
                    <w:bottom w:w="0" w:type="dxa"/>
                    <w:right w:w="108" w:type="dxa"/>
                  </w:tcMar>
                  <w:hideMark/>
                </w:tcPr>
                <w:p w14:paraId="01D6EAE2" w14:textId="77777777" w:rsidR="0050022E" w:rsidRPr="00E93042" w:rsidRDefault="0050022E" w:rsidP="00583C72">
                  <w:pPr>
                    <w:ind w:left="-255" w:firstLine="255"/>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2021</w:t>
                  </w:r>
                </w:p>
              </w:tc>
              <w:tc>
                <w:tcPr>
                  <w:tcW w:w="970" w:type="pct"/>
                  <w:tcMar>
                    <w:top w:w="0" w:type="dxa"/>
                    <w:left w:w="108" w:type="dxa"/>
                    <w:bottom w:w="0" w:type="dxa"/>
                    <w:right w:w="108" w:type="dxa"/>
                  </w:tcMar>
                  <w:hideMark/>
                </w:tcPr>
                <w:p w14:paraId="2CFD86FE"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423</w:t>
                  </w:r>
                </w:p>
              </w:tc>
              <w:tc>
                <w:tcPr>
                  <w:tcW w:w="1408" w:type="pct"/>
                  <w:tcMar>
                    <w:top w:w="0" w:type="dxa"/>
                    <w:left w:w="108" w:type="dxa"/>
                    <w:bottom w:w="0" w:type="dxa"/>
                    <w:right w:w="108" w:type="dxa"/>
                  </w:tcMar>
                  <w:hideMark/>
                </w:tcPr>
                <w:p w14:paraId="15307C2B"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10 145</w:t>
                  </w:r>
                </w:p>
              </w:tc>
              <w:tc>
                <w:tcPr>
                  <w:tcW w:w="1182" w:type="pct"/>
                  <w:tcMar>
                    <w:top w:w="0" w:type="dxa"/>
                    <w:left w:w="108" w:type="dxa"/>
                    <w:bottom w:w="0" w:type="dxa"/>
                    <w:right w:w="108" w:type="dxa"/>
                  </w:tcMar>
                  <w:hideMark/>
                </w:tcPr>
                <w:p w14:paraId="00184974"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1 693 mln zł</w:t>
                  </w:r>
                </w:p>
              </w:tc>
              <w:tc>
                <w:tcPr>
                  <w:tcW w:w="1117" w:type="pct"/>
                  <w:hideMark/>
                </w:tcPr>
                <w:p w14:paraId="3EC693B9"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0</w:t>
                  </w:r>
                </w:p>
              </w:tc>
            </w:tr>
            <w:tr w:rsidR="0050022E" w:rsidRPr="00E93042" w14:paraId="66030A69" w14:textId="77777777" w:rsidTr="00583C72">
              <w:trPr>
                <w:trHeight w:val="276"/>
              </w:trPr>
              <w:tc>
                <w:tcPr>
                  <w:tcW w:w="324" w:type="pct"/>
                  <w:tcMar>
                    <w:top w:w="0" w:type="dxa"/>
                    <w:left w:w="108" w:type="dxa"/>
                    <w:bottom w:w="0" w:type="dxa"/>
                    <w:right w:w="108" w:type="dxa"/>
                  </w:tcMar>
                  <w:hideMark/>
                </w:tcPr>
                <w:p w14:paraId="107E98A1" w14:textId="77777777" w:rsidR="0050022E" w:rsidRPr="00E93042" w:rsidRDefault="0050022E" w:rsidP="00583C72">
                  <w:pPr>
                    <w:ind w:left="-255" w:firstLine="255"/>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2022</w:t>
                  </w:r>
                </w:p>
              </w:tc>
              <w:tc>
                <w:tcPr>
                  <w:tcW w:w="970" w:type="pct"/>
                  <w:tcMar>
                    <w:top w:w="0" w:type="dxa"/>
                    <w:left w:w="108" w:type="dxa"/>
                    <w:bottom w:w="0" w:type="dxa"/>
                    <w:right w:w="108" w:type="dxa"/>
                  </w:tcMar>
                  <w:hideMark/>
                </w:tcPr>
                <w:p w14:paraId="63B2067E"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502</w:t>
                  </w:r>
                </w:p>
              </w:tc>
              <w:tc>
                <w:tcPr>
                  <w:tcW w:w="1408" w:type="pct"/>
                  <w:tcMar>
                    <w:top w:w="0" w:type="dxa"/>
                    <w:left w:w="108" w:type="dxa"/>
                    <w:bottom w:w="0" w:type="dxa"/>
                    <w:right w:w="108" w:type="dxa"/>
                  </w:tcMar>
                  <w:hideMark/>
                </w:tcPr>
                <w:p w14:paraId="3FAFFDD8"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9 657</w:t>
                  </w:r>
                </w:p>
              </w:tc>
              <w:tc>
                <w:tcPr>
                  <w:tcW w:w="1182" w:type="pct"/>
                  <w:tcMar>
                    <w:top w:w="0" w:type="dxa"/>
                    <w:left w:w="108" w:type="dxa"/>
                    <w:bottom w:w="0" w:type="dxa"/>
                    <w:right w:w="108" w:type="dxa"/>
                  </w:tcMar>
                  <w:hideMark/>
                </w:tcPr>
                <w:p w14:paraId="5DAA1ACA"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1 939 mln zł</w:t>
                  </w:r>
                </w:p>
              </w:tc>
              <w:tc>
                <w:tcPr>
                  <w:tcW w:w="1117" w:type="pct"/>
                  <w:hideMark/>
                </w:tcPr>
                <w:p w14:paraId="61D2909F"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57 aneksów na 101 mln zł</w:t>
                  </w:r>
                </w:p>
              </w:tc>
            </w:tr>
            <w:tr w:rsidR="0050022E" w:rsidRPr="00E93042" w14:paraId="400946C6" w14:textId="77777777" w:rsidTr="00583C72">
              <w:trPr>
                <w:trHeight w:val="292"/>
              </w:trPr>
              <w:tc>
                <w:tcPr>
                  <w:tcW w:w="324" w:type="pct"/>
                  <w:tcMar>
                    <w:top w:w="0" w:type="dxa"/>
                    <w:left w:w="108" w:type="dxa"/>
                    <w:bottom w:w="0" w:type="dxa"/>
                    <w:right w:w="108" w:type="dxa"/>
                  </w:tcMar>
                  <w:hideMark/>
                </w:tcPr>
                <w:p w14:paraId="1DB35881" w14:textId="77777777" w:rsidR="0050022E" w:rsidRPr="00E93042" w:rsidRDefault="0050022E" w:rsidP="00583C72">
                  <w:pPr>
                    <w:ind w:left="-255" w:firstLine="255"/>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2023</w:t>
                  </w:r>
                </w:p>
              </w:tc>
              <w:tc>
                <w:tcPr>
                  <w:tcW w:w="970" w:type="pct"/>
                  <w:tcMar>
                    <w:top w:w="0" w:type="dxa"/>
                    <w:left w:w="108" w:type="dxa"/>
                    <w:bottom w:w="0" w:type="dxa"/>
                    <w:right w:w="108" w:type="dxa"/>
                  </w:tcMar>
                  <w:hideMark/>
                </w:tcPr>
                <w:p w14:paraId="04571818"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759</w:t>
                  </w:r>
                </w:p>
              </w:tc>
              <w:tc>
                <w:tcPr>
                  <w:tcW w:w="1408" w:type="pct"/>
                  <w:tcMar>
                    <w:top w:w="0" w:type="dxa"/>
                    <w:left w:w="108" w:type="dxa"/>
                    <w:bottom w:w="0" w:type="dxa"/>
                    <w:right w:w="108" w:type="dxa"/>
                  </w:tcMar>
                  <w:hideMark/>
                </w:tcPr>
                <w:p w14:paraId="1C441249"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16 743</w:t>
                  </w:r>
                </w:p>
              </w:tc>
              <w:tc>
                <w:tcPr>
                  <w:tcW w:w="1182" w:type="pct"/>
                  <w:tcMar>
                    <w:top w:w="0" w:type="dxa"/>
                    <w:left w:w="108" w:type="dxa"/>
                    <w:bottom w:w="0" w:type="dxa"/>
                    <w:right w:w="108" w:type="dxa"/>
                  </w:tcMar>
                  <w:hideMark/>
                </w:tcPr>
                <w:p w14:paraId="7A7E2B85"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2 867 mln zł</w:t>
                  </w:r>
                </w:p>
              </w:tc>
              <w:tc>
                <w:tcPr>
                  <w:tcW w:w="1117" w:type="pct"/>
                  <w:hideMark/>
                </w:tcPr>
                <w:p w14:paraId="55588593" w14:textId="77777777" w:rsidR="0050022E" w:rsidRPr="00E93042" w:rsidRDefault="0050022E" w:rsidP="00583C72">
                  <w:pPr>
                    <w:ind w:left="-255" w:firstLine="255"/>
                    <w:jc w:val="center"/>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115 aneksów na 96 mln zł</w:t>
                  </w:r>
                </w:p>
              </w:tc>
            </w:tr>
          </w:tbl>
          <w:p w14:paraId="3EECE2C3" w14:textId="77777777" w:rsidR="0050022E" w:rsidRPr="00E93042" w:rsidRDefault="0050022E" w:rsidP="00583C72">
            <w:pPr>
              <w:spacing w:before="120" w:after="120"/>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lastRenderedPageBreak/>
              <w:t>W 2023 r. BGK dysponował środkami w wysokości 1 972,09 mln zł. Z tej kwoty udzielono wsparcia wnioskom oczekującym na kwalifikację z 2022 r. w wysokości 1 030 mln zł oraz wnioskom z 2023 r. w wysokości 870 mln zł na utworzenie łącznie 10 303 lokali i miejsc noclegowych. Zakwalifikowane zostały 62 aneksy podwyższające wsparcie na kwotę 71 mln zł. W wyniku wyczerpania środków, cześć złożonych w 2023 r. wniosków nie uzyskała kwalifikacji i została przeniesiona do udzielenia wsparcia na rok 2024.</w:t>
            </w:r>
          </w:p>
          <w:p w14:paraId="20C41B99" w14:textId="77777777" w:rsidR="0050022E" w:rsidRPr="00E93042" w:rsidRDefault="0050022E" w:rsidP="00583C72">
            <w:pPr>
              <w:spacing w:before="120" w:after="120"/>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Wg stanu na 31 grudnia 2024 r. wnioski zakwalifikowane w 2024 r.:</w:t>
            </w:r>
          </w:p>
          <w:p w14:paraId="1E637E5F" w14:textId="77777777" w:rsidR="0050022E" w:rsidRPr="00E93042" w:rsidRDefault="0050022E" w:rsidP="0050022E">
            <w:pPr>
              <w:pStyle w:val="Akapitzlist"/>
              <w:numPr>
                <w:ilvl w:val="0"/>
                <w:numId w:val="11"/>
              </w:numPr>
              <w:spacing w:before="120" w:after="120" w:line="240" w:lineRule="auto"/>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314 wniosków na łączną kwotę dofinansowania 1 117,8 mln zł; W wyniku realizacji przedsięwzięć powstanie 6173 lokali/miejsc noclegowych oraz 3 przedsięwzięcia infrastrukturalne,</w:t>
            </w:r>
          </w:p>
          <w:p w14:paraId="69F3C86B" w14:textId="77777777" w:rsidR="0050022E" w:rsidRPr="00E93042" w:rsidRDefault="0050022E" w:rsidP="0050022E">
            <w:pPr>
              <w:pStyle w:val="Akapitzlist"/>
              <w:numPr>
                <w:ilvl w:val="0"/>
                <w:numId w:val="11"/>
              </w:numPr>
              <w:spacing w:before="120" w:after="120" w:line="240" w:lineRule="auto"/>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 xml:space="preserve">47 aneksów podwyższających wsparcie o 29,9 mln zł. </w:t>
            </w:r>
          </w:p>
          <w:p w14:paraId="485C9CC5" w14:textId="77777777" w:rsidR="0050022E" w:rsidRPr="00E93042" w:rsidRDefault="0050022E" w:rsidP="00583C72">
            <w:pPr>
              <w:spacing w:before="120" w:after="120"/>
              <w:ind w:left="103"/>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Wnioski spełniające wymagania formalne, oczekujące na kwalifikację (decyzja zostanie podjęta w 2025 r. w ramach limitu wydatków na rok 2024):</w:t>
            </w:r>
          </w:p>
          <w:p w14:paraId="23F6FAA0" w14:textId="77777777" w:rsidR="0050022E" w:rsidRPr="00E93042" w:rsidRDefault="0050022E" w:rsidP="0050022E">
            <w:pPr>
              <w:pStyle w:val="Akapitzlist"/>
              <w:numPr>
                <w:ilvl w:val="0"/>
                <w:numId w:val="14"/>
              </w:numPr>
              <w:spacing w:before="120" w:after="120" w:line="240" w:lineRule="auto"/>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650 wniosków na łączną kwotę dofinansowania 3 040,7  mln zł. W wyniku realizacji przedsięwzięć powstanie 14 493 lokali/miejsc noclegowych,</w:t>
            </w:r>
          </w:p>
          <w:p w14:paraId="54F9836C" w14:textId="77777777" w:rsidR="0050022E" w:rsidRPr="00E93042" w:rsidRDefault="0050022E" w:rsidP="0050022E">
            <w:pPr>
              <w:pStyle w:val="Akapitzlist"/>
              <w:numPr>
                <w:ilvl w:val="0"/>
                <w:numId w:val="14"/>
              </w:numPr>
              <w:spacing w:before="120" w:after="120" w:line="240" w:lineRule="auto"/>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123 aneksy podwyższające wsparcie o kwotę 64,9 mln zł.</w:t>
            </w:r>
          </w:p>
          <w:p w14:paraId="0333A207" w14:textId="77777777" w:rsidR="0050022E" w:rsidRPr="00E93042" w:rsidRDefault="0050022E" w:rsidP="00583C72">
            <w:pPr>
              <w:spacing w:before="120" w:after="120"/>
              <w:ind w:left="103"/>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Wnioski w trakcie rozpatrywania przez BGK:</w:t>
            </w:r>
          </w:p>
          <w:p w14:paraId="6EDB8736" w14:textId="77777777" w:rsidR="0050022E" w:rsidRPr="00E93042" w:rsidRDefault="0050022E" w:rsidP="0050022E">
            <w:pPr>
              <w:pStyle w:val="Akapitzlist"/>
              <w:numPr>
                <w:ilvl w:val="0"/>
                <w:numId w:val="15"/>
              </w:numPr>
              <w:spacing w:before="120" w:after="120" w:line="240" w:lineRule="auto"/>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93 wnioski na łączną kwotę dofinansowania 538,8 mln zł. W wyniku realizacji przedsięwzięć powstanie 2 838 lokali/miejsc noclegowych,</w:t>
            </w:r>
          </w:p>
          <w:p w14:paraId="76DF03F3" w14:textId="77777777" w:rsidR="0050022E" w:rsidRPr="00E93042" w:rsidRDefault="0050022E" w:rsidP="0050022E">
            <w:pPr>
              <w:pStyle w:val="Akapitzlist"/>
              <w:numPr>
                <w:ilvl w:val="0"/>
                <w:numId w:val="15"/>
              </w:numPr>
              <w:spacing w:before="120" w:after="120" w:line="240" w:lineRule="auto"/>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3 aneksy podwyższające wsparcie o kwotę 224 tys. zł.</w:t>
            </w:r>
          </w:p>
          <w:p w14:paraId="64A7703F" w14:textId="77777777" w:rsidR="0050022E" w:rsidRPr="00E93042" w:rsidRDefault="0050022E" w:rsidP="00583C72">
            <w:pPr>
              <w:spacing w:before="120" w:after="120"/>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Wg stanu na koniec 2024 r., wysokość wniosków oczekujących na kwalifikację obejmuje zatem kwotę prawie 3,6 mld zł, w ramach której utworzonych zostałoby łącznie ponad 17 tys. mieszkań i miejsc noclegowych.</w:t>
            </w:r>
          </w:p>
          <w:p w14:paraId="0689FB2E" w14:textId="77777777" w:rsidR="0050022E" w:rsidRPr="00E93042" w:rsidRDefault="0050022E" w:rsidP="00583C72">
            <w:pPr>
              <w:spacing w:before="120" w:after="120"/>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 xml:space="preserve">Uwzględniając dynamikę wzrostów z lat 2020-2024 prognozuje się, że w 2025 r. zostaną złożone kolejne wnioski w wysokości co najmniej 4,7 mld zł. Proponowane zwiększenie limitów do wysokości ponad 4,9 mld zł pozwoliłoby na zabezpieczenie dotychczas zgłoszonego zapotrzebowania oraz </w:t>
            </w:r>
            <w:r w:rsidRPr="00E93042">
              <w:rPr>
                <w:rFonts w:ascii="Times New Roman" w:eastAsia="Times New Roman" w:hAnsi="Times New Roman"/>
                <w:bCs/>
                <w:color w:val="000000" w:themeColor="text1"/>
                <w:u w:val="single"/>
              </w:rPr>
              <w:t>częściowe</w:t>
            </w:r>
            <w:r w:rsidRPr="00E93042">
              <w:rPr>
                <w:rFonts w:ascii="Times New Roman" w:eastAsia="Times New Roman" w:hAnsi="Times New Roman"/>
                <w:bCs/>
                <w:color w:val="000000" w:themeColor="text1"/>
              </w:rPr>
              <w:t xml:space="preserve"> zaspokojenie zapotrzebowania spodziewanego w przyszłym roku.  </w:t>
            </w:r>
          </w:p>
          <w:p w14:paraId="7675C277" w14:textId="77777777" w:rsidR="0050022E" w:rsidRPr="00E93042" w:rsidRDefault="0050022E" w:rsidP="00583C72">
            <w:pPr>
              <w:spacing w:before="120" w:after="120"/>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 xml:space="preserve">W tabeli ogólnej dotyczącej skutków finansowych uwzględniono pomniejszenie o aktualnie zaplanowany limity na program BSK (w wysokości 1 mld zł). </w:t>
            </w:r>
          </w:p>
          <w:p w14:paraId="1EB23642" w14:textId="77777777" w:rsidR="0050022E" w:rsidRPr="00E93042" w:rsidRDefault="0050022E" w:rsidP="00583C72">
            <w:pPr>
              <w:spacing w:before="120" w:after="120"/>
              <w:jc w:val="both"/>
              <w:rPr>
                <w:rFonts w:ascii="Times New Roman" w:eastAsia="Times New Roman" w:hAnsi="Times New Roman"/>
                <w:bCs/>
                <w:color w:val="000000" w:themeColor="text1"/>
              </w:rPr>
            </w:pPr>
            <w:r w:rsidRPr="00E93042">
              <w:rPr>
                <w:rFonts w:ascii="Times New Roman" w:eastAsia="Times New Roman" w:hAnsi="Times New Roman"/>
                <w:bCs/>
                <w:color w:val="000000" w:themeColor="text1"/>
              </w:rPr>
              <w:t xml:space="preserve">Zapewnienie poziomu finansowania na poziomie prawie 5 mld zł dałoby możliwość rozpoczęcia tworzenia ok. 20.000 mieszkań komunalnych oraz mieszkań TBS na tani wynajem. Byłby to najwyższy wynik w historii liczonej od 1989 r. i zarazem dwukrotnie wyższy niż obecnie najlepszy pod tym względem rok 2023. Taka liczba mieszkań dedykowanych osobom o niskich (komunalne) i umiarkowanych (TBS) dochodach stanowiłaby po raz pierwszy realny wpływ na cały rynek mieszkaniowy i stanowiła realny sukces polityki mieszkaniowej państwa. </w:t>
            </w:r>
          </w:p>
          <w:p w14:paraId="35D85287"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Do oszacowania wysokości środków koniecznych do zasilenia Funduszu Dopłat w kolejnych latach założono corocznie 10-20% wzrostu zainteresowania programem BSK.). Z kwoty na zasilenie Funduszu Dopłat na realizację programu BSK w pierwszym półroczu każdego roku zostanie wydzielona pula środków na budowę i remonty powierzchni zaspokajających potrzeby mieszkaniowe studentów – w wysokości 10% kwoty dostępnej na dany rok. </w:t>
            </w:r>
          </w:p>
          <w:p w14:paraId="46E2C2A2"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Zwiększone limity wydatków budżetowych na realizację programu BSK pozwolą również na znaczne zwiększenie skali inwestycji w remonty gminnych pustostanów. W 2023 r. do finansowego wsparcia z Funduszu Dopłat zakwalifikowanych zostało 200 wniosków na remont pustostanu gminnego, które dotyczyły 1.294 lokali mieszkalnych. Wnioskowana kwota wsparcia wyniosła 150 mln zł. Wnioski o finansowanie remontu pustostanów stanowiły prawie połowę wszystkich zakwalifikowanych </w:t>
            </w:r>
            <w:r w:rsidRPr="00E93042">
              <w:rPr>
                <w:rFonts w:ascii="Times New Roman" w:eastAsia="Times New Roman" w:hAnsi="Times New Roman"/>
                <w:bCs/>
              </w:rPr>
              <w:lastRenderedPageBreak/>
              <w:t>wniosków. Zaś kwota udzielonego na remonty pustostanów wsparcia stanowiła prawie 10% kwoty wsparcia wszystkich złożonych wniosków. W 2024 r. (wg stanu na dzień 31 sierpnia 2024 r.) zakwalifikowano 153 tego typu wnioski, na kwotę 112,8 mln zł. Dotyczą one 1.023 lokali mieszkalnych. Kolejne 317 inwestycji w pustostany oczekuje na kwalifikacje bądź jest w trakcie oceny (na kwotę ponad 300 mln zł; 2.725 lokali mieszkalnych).</w:t>
            </w:r>
          </w:p>
          <w:p w14:paraId="0451A689" w14:textId="77777777" w:rsidR="0050022E" w:rsidRPr="00E93042" w:rsidRDefault="0050022E" w:rsidP="00583C72">
            <w:pPr>
              <w:spacing w:before="120" w:after="120"/>
              <w:jc w:val="both"/>
              <w:rPr>
                <w:rFonts w:ascii="Times New Roman" w:eastAsia="Times New Roman" w:hAnsi="Times New Roman"/>
                <w:bCs/>
                <w:color w:val="000000" w:themeColor="text1"/>
              </w:rPr>
            </w:pPr>
            <w:r w:rsidRPr="00E93042">
              <w:rPr>
                <w:rFonts w:ascii="Times New Roman" w:eastAsia="Times New Roman" w:hAnsi="Times New Roman"/>
                <w:bCs/>
              </w:rPr>
              <w:t>Zakładając wzrost zainteresowania gmin tego typu inwestycjami, do 2030 r. kwota na kwalifikacje tego typu inwestycji ze środków Funduszu Dopłat może wynieść 10 mld zł. Kwota ta pozwoli na remont około 80 tys. komunalnych lokali mieszkaniowych.</w:t>
            </w:r>
          </w:p>
          <w:p w14:paraId="4B6E758A" w14:textId="77777777" w:rsidR="0050022E" w:rsidRPr="00E93042" w:rsidRDefault="0050022E" w:rsidP="00583C72">
            <w:pPr>
              <w:spacing w:before="120" w:after="120"/>
              <w:jc w:val="both"/>
              <w:rPr>
                <w:rFonts w:ascii="Times New Roman" w:eastAsia="Times New Roman" w:hAnsi="Times New Roman"/>
                <w:bCs/>
                <w:u w:val="single"/>
              </w:rPr>
            </w:pPr>
            <w:r w:rsidRPr="00E93042">
              <w:rPr>
                <w:rFonts w:ascii="Times New Roman" w:eastAsia="Times New Roman" w:hAnsi="Times New Roman"/>
                <w:bCs/>
                <w:u w:val="single"/>
              </w:rPr>
              <w:t xml:space="preserve">Wydatki na dopłatę preferencyjnych kredytów udzielanych w ramach kredytów SBC zostały oszacowane przez operatora programu – BKG, przy założeniu wydłużenia aktualnego programu o 2 lata (dwie dodatkowe edycje w 2025 r. i dwie w 2026 r.) i zwiększeniu kwoty dostępnej na udzielanie kredytów, ze środków własnych BGK, z 4,5 mld zł na 6,9 mld zł. </w:t>
            </w:r>
          </w:p>
          <w:p w14:paraId="67A00992"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Edycje w ww. wysokości wygenerowałyby konieczność pokrycia z budżetu państwa dodatkowych wydatków na dopłatę dla BGK do preferencyjnego oprocentowania kredytów w wysokości (wyliczenia BGK):</w:t>
            </w:r>
          </w:p>
          <w:tbl>
            <w:tblPr>
              <w:tblW w:w="88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3"/>
              <w:gridCol w:w="2410"/>
              <w:gridCol w:w="3445"/>
              <w:gridCol w:w="1686"/>
            </w:tblGrid>
            <w:tr w:rsidR="0050022E" w:rsidRPr="00E93042" w14:paraId="27D68312" w14:textId="77777777" w:rsidTr="00583C72">
              <w:trPr>
                <w:trHeight w:val="361"/>
                <w:jc w:val="right"/>
              </w:trPr>
              <w:tc>
                <w:tcPr>
                  <w:tcW w:w="1293" w:type="dxa"/>
                  <w:shd w:val="clear" w:color="auto" w:fill="F2F2F2" w:themeFill="background1" w:themeFillShade="F2"/>
                  <w:noWrap/>
                  <w:tcMar>
                    <w:top w:w="0" w:type="dxa"/>
                    <w:left w:w="70" w:type="dxa"/>
                    <w:bottom w:w="0" w:type="dxa"/>
                    <w:right w:w="70" w:type="dxa"/>
                  </w:tcMar>
                  <w:vAlign w:val="center"/>
                  <w:hideMark/>
                </w:tcPr>
                <w:p w14:paraId="019C0919" w14:textId="77777777" w:rsidR="0050022E" w:rsidRPr="00E93042" w:rsidRDefault="0050022E" w:rsidP="00583C72">
                  <w:pPr>
                    <w:ind w:left="-255" w:firstLine="255"/>
                    <w:rPr>
                      <w:rFonts w:ascii="Times New Roman" w:eastAsia="Times New Roman" w:hAnsi="Times New Roman"/>
                      <w:bCs/>
                    </w:rPr>
                  </w:pPr>
                  <w:r w:rsidRPr="00E93042">
                    <w:rPr>
                      <w:rFonts w:ascii="Times New Roman" w:eastAsia="Times New Roman" w:hAnsi="Times New Roman"/>
                      <w:bCs/>
                    </w:rPr>
                    <w:t>Rok</w:t>
                  </w:r>
                </w:p>
              </w:tc>
              <w:tc>
                <w:tcPr>
                  <w:tcW w:w="2410" w:type="dxa"/>
                  <w:shd w:val="clear" w:color="auto" w:fill="F2F2F2" w:themeFill="background1" w:themeFillShade="F2"/>
                  <w:noWrap/>
                  <w:tcMar>
                    <w:top w:w="0" w:type="dxa"/>
                    <w:left w:w="70" w:type="dxa"/>
                    <w:bottom w:w="0" w:type="dxa"/>
                    <w:right w:w="70" w:type="dxa"/>
                  </w:tcMar>
                  <w:vAlign w:val="center"/>
                  <w:hideMark/>
                </w:tcPr>
                <w:p w14:paraId="5A15BC80"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dopłata 1,3%</w:t>
                  </w:r>
                  <w:r w:rsidRPr="00E93042">
                    <w:rPr>
                      <w:rFonts w:ascii="Times New Roman" w:eastAsia="Times New Roman" w:hAnsi="Times New Roman"/>
                      <w:vertAlign w:val="superscript"/>
                    </w:rPr>
                    <w:footnoteReference w:id="4"/>
                  </w:r>
                </w:p>
              </w:tc>
              <w:tc>
                <w:tcPr>
                  <w:tcW w:w="3445" w:type="dxa"/>
                  <w:shd w:val="clear" w:color="auto" w:fill="F2F2F2" w:themeFill="background1" w:themeFillShade="F2"/>
                  <w:tcMar>
                    <w:top w:w="0" w:type="dxa"/>
                    <w:left w:w="70" w:type="dxa"/>
                    <w:bottom w:w="0" w:type="dxa"/>
                    <w:right w:w="70" w:type="dxa"/>
                  </w:tcMar>
                  <w:vAlign w:val="center"/>
                  <w:hideMark/>
                </w:tcPr>
                <w:p w14:paraId="0EED7217" w14:textId="77777777" w:rsidR="0050022E" w:rsidRPr="00E93042" w:rsidRDefault="0050022E" w:rsidP="00583C72">
                  <w:pPr>
                    <w:ind w:left="69"/>
                    <w:jc w:val="center"/>
                    <w:rPr>
                      <w:rFonts w:ascii="Times New Roman" w:eastAsia="Times New Roman" w:hAnsi="Times New Roman"/>
                      <w:bCs/>
                    </w:rPr>
                  </w:pPr>
                  <w:r w:rsidRPr="00E93042">
                    <w:rPr>
                      <w:rFonts w:ascii="Times New Roman" w:eastAsia="Times New Roman" w:hAnsi="Times New Roman"/>
                      <w:bCs/>
                    </w:rPr>
                    <w:t xml:space="preserve">dopłata stabilizacyjna </w:t>
                  </w:r>
                </w:p>
                <w:p w14:paraId="463E9766" w14:textId="77777777" w:rsidR="0050022E" w:rsidRPr="00E93042" w:rsidRDefault="0050022E" w:rsidP="00583C72">
                  <w:pPr>
                    <w:ind w:left="69"/>
                    <w:jc w:val="center"/>
                    <w:rPr>
                      <w:rFonts w:ascii="Times New Roman" w:eastAsia="Times New Roman" w:hAnsi="Times New Roman"/>
                      <w:bCs/>
                    </w:rPr>
                  </w:pPr>
                  <w:r w:rsidRPr="00E93042">
                    <w:rPr>
                      <w:rFonts w:ascii="Times New Roman" w:eastAsia="Times New Roman" w:hAnsi="Times New Roman"/>
                      <w:bCs/>
                    </w:rPr>
                    <w:t>(oprocentowanie</w:t>
                  </w:r>
                  <w:r w:rsidRPr="00E93042">
                    <w:rPr>
                      <w:rFonts w:ascii="Times New Roman" w:eastAsia="Times New Roman" w:hAnsi="Times New Roman"/>
                      <w:bCs/>
                    </w:rPr>
                    <w:br/>
                    <w:t>2% na 5 lat)</w:t>
                  </w:r>
                  <w:r w:rsidRPr="00E93042">
                    <w:rPr>
                      <w:rFonts w:ascii="Times New Roman" w:eastAsia="Times New Roman" w:hAnsi="Times New Roman"/>
                      <w:vertAlign w:val="superscript"/>
                    </w:rPr>
                    <w:footnoteReference w:id="5"/>
                  </w:r>
                </w:p>
              </w:tc>
              <w:tc>
                <w:tcPr>
                  <w:tcW w:w="1686" w:type="dxa"/>
                  <w:shd w:val="clear" w:color="auto" w:fill="F2F2F2" w:themeFill="background1" w:themeFillShade="F2"/>
                  <w:noWrap/>
                  <w:tcMar>
                    <w:top w:w="0" w:type="dxa"/>
                    <w:left w:w="70" w:type="dxa"/>
                    <w:bottom w:w="0" w:type="dxa"/>
                    <w:right w:w="70" w:type="dxa"/>
                  </w:tcMar>
                  <w:vAlign w:val="center"/>
                  <w:hideMark/>
                </w:tcPr>
                <w:p w14:paraId="6A4302FD"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dopłata łącznie</w:t>
                  </w:r>
                </w:p>
              </w:tc>
            </w:tr>
            <w:tr w:rsidR="0050022E" w:rsidRPr="00E93042" w14:paraId="1023EE1D" w14:textId="77777777" w:rsidTr="00583C72">
              <w:trPr>
                <w:trHeight w:val="143"/>
                <w:jc w:val="right"/>
              </w:trPr>
              <w:tc>
                <w:tcPr>
                  <w:tcW w:w="1293" w:type="dxa"/>
                  <w:noWrap/>
                  <w:tcMar>
                    <w:top w:w="0" w:type="dxa"/>
                    <w:left w:w="70" w:type="dxa"/>
                    <w:bottom w:w="0" w:type="dxa"/>
                    <w:right w:w="70" w:type="dxa"/>
                  </w:tcMar>
                  <w:vAlign w:val="center"/>
                  <w:hideMark/>
                </w:tcPr>
                <w:p w14:paraId="6B6F173D" w14:textId="77777777" w:rsidR="0050022E" w:rsidRPr="00E93042" w:rsidRDefault="0050022E" w:rsidP="00583C72">
                  <w:pPr>
                    <w:ind w:left="-255" w:firstLine="255"/>
                    <w:rPr>
                      <w:rFonts w:ascii="Times New Roman" w:eastAsia="Times New Roman" w:hAnsi="Times New Roman"/>
                      <w:bCs/>
                    </w:rPr>
                  </w:pPr>
                  <w:r w:rsidRPr="00E93042">
                    <w:rPr>
                      <w:rFonts w:ascii="Times New Roman" w:eastAsia="Times New Roman" w:hAnsi="Times New Roman"/>
                      <w:bCs/>
                    </w:rPr>
                    <w:t>2025</w:t>
                  </w:r>
                </w:p>
              </w:tc>
              <w:tc>
                <w:tcPr>
                  <w:tcW w:w="2410" w:type="dxa"/>
                  <w:noWrap/>
                  <w:tcMar>
                    <w:top w:w="0" w:type="dxa"/>
                    <w:left w:w="70" w:type="dxa"/>
                    <w:bottom w:w="0" w:type="dxa"/>
                    <w:right w:w="70" w:type="dxa"/>
                  </w:tcMar>
                  <w:vAlign w:val="center"/>
                  <w:hideMark/>
                </w:tcPr>
                <w:p w14:paraId="1FDB66DD"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56,7</w:t>
                  </w:r>
                </w:p>
              </w:tc>
              <w:tc>
                <w:tcPr>
                  <w:tcW w:w="3445" w:type="dxa"/>
                  <w:noWrap/>
                  <w:tcMar>
                    <w:top w:w="0" w:type="dxa"/>
                    <w:left w:w="70" w:type="dxa"/>
                    <w:bottom w:w="0" w:type="dxa"/>
                    <w:right w:w="70" w:type="dxa"/>
                  </w:tcMar>
                  <w:vAlign w:val="center"/>
                  <w:hideMark/>
                </w:tcPr>
                <w:p w14:paraId="3F05EEBF" w14:textId="77777777" w:rsidR="0050022E" w:rsidRPr="00E93042" w:rsidRDefault="0050022E" w:rsidP="00583C72">
                  <w:pPr>
                    <w:ind w:left="-255" w:firstLine="255"/>
                    <w:jc w:val="center"/>
                    <w:rPr>
                      <w:rFonts w:ascii="Times New Roman" w:eastAsia="Times New Roman" w:hAnsi="Times New Roman"/>
                      <w:bCs/>
                    </w:rPr>
                  </w:pPr>
                </w:p>
              </w:tc>
              <w:tc>
                <w:tcPr>
                  <w:tcW w:w="1686" w:type="dxa"/>
                  <w:noWrap/>
                  <w:tcMar>
                    <w:top w:w="0" w:type="dxa"/>
                    <w:left w:w="70" w:type="dxa"/>
                    <w:bottom w:w="0" w:type="dxa"/>
                    <w:right w:w="70" w:type="dxa"/>
                  </w:tcMar>
                  <w:vAlign w:val="center"/>
                  <w:hideMark/>
                </w:tcPr>
                <w:p w14:paraId="61A4F3A5"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56,7</w:t>
                  </w:r>
                </w:p>
              </w:tc>
            </w:tr>
            <w:tr w:rsidR="0050022E" w:rsidRPr="00E93042" w14:paraId="1637CE07" w14:textId="77777777" w:rsidTr="00583C72">
              <w:trPr>
                <w:trHeight w:val="300"/>
                <w:jc w:val="right"/>
              </w:trPr>
              <w:tc>
                <w:tcPr>
                  <w:tcW w:w="1293" w:type="dxa"/>
                  <w:noWrap/>
                  <w:tcMar>
                    <w:top w:w="0" w:type="dxa"/>
                    <w:left w:w="70" w:type="dxa"/>
                    <w:bottom w:w="0" w:type="dxa"/>
                    <w:right w:w="70" w:type="dxa"/>
                  </w:tcMar>
                  <w:vAlign w:val="center"/>
                  <w:hideMark/>
                </w:tcPr>
                <w:p w14:paraId="4D729AF6" w14:textId="77777777" w:rsidR="0050022E" w:rsidRPr="00E93042" w:rsidRDefault="0050022E" w:rsidP="00583C72">
                  <w:pPr>
                    <w:ind w:left="-255" w:firstLine="255"/>
                    <w:rPr>
                      <w:rFonts w:ascii="Times New Roman" w:eastAsia="Times New Roman" w:hAnsi="Times New Roman"/>
                      <w:bCs/>
                    </w:rPr>
                  </w:pPr>
                  <w:r w:rsidRPr="00E93042">
                    <w:rPr>
                      <w:rFonts w:ascii="Times New Roman" w:eastAsia="Times New Roman" w:hAnsi="Times New Roman"/>
                      <w:bCs/>
                    </w:rPr>
                    <w:t>2026</w:t>
                  </w:r>
                </w:p>
              </w:tc>
              <w:tc>
                <w:tcPr>
                  <w:tcW w:w="2410" w:type="dxa"/>
                  <w:noWrap/>
                  <w:tcMar>
                    <w:top w:w="0" w:type="dxa"/>
                    <w:left w:w="70" w:type="dxa"/>
                    <w:bottom w:w="0" w:type="dxa"/>
                    <w:right w:w="70" w:type="dxa"/>
                  </w:tcMar>
                  <w:vAlign w:val="center"/>
                  <w:hideMark/>
                </w:tcPr>
                <w:p w14:paraId="40AFB3B2"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344,6</w:t>
                  </w:r>
                </w:p>
              </w:tc>
              <w:tc>
                <w:tcPr>
                  <w:tcW w:w="3445" w:type="dxa"/>
                  <w:noWrap/>
                  <w:tcMar>
                    <w:top w:w="0" w:type="dxa"/>
                    <w:left w:w="70" w:type="dxa"/>
                    <w:bottom w:w="0" w:type="dxa"/>
                    <w:right w:w="70" w:type="dxa"/>
                  </w:tcMar>
                  <w:vAlign w:val="center"/>
                  <w:hideMark/>
                </w:tcPr>
                <w:p w14:paraId="2F8D95D2"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28,4</w:t>
                  </w:r>
                </w:p>
              </w:tc>
              <w:tc>
                <w:tcPr>
                  <w:tcW w:w="1686" w:type="dxa"/>
                  <w:noWrap/>
                  <w:tcMar>
                    <w:top w:w="0" w:type="dxa"/>
                    <w:left w:w="70" w:type="dxa"/>
                    <w:bottom w:w="0" w:type="dxa"/>
                    <w:right w:w="70" w:type="dxa"/>
                  </w:tcMar>
                  <w:vAlign w:val="center"/>
                  <w:hideMark/>
                </w:tcPr>
                <w:p w14:paraId="65B9712E"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373</w:t>
                  </w:r>
                </w:p>
              </w:tc>
            </w:tr>
            <w:tr w:rsidR="0050022E" w:rsidRPr="00E93042" w14:paraId="4110663C" w14:textId="77777777" w:rsidTr="00583C72">
              <w:trPr>
                <w:trHeight w:val="300"/>
                <w:jc w:val="right"/>
              </w:trPr>
              <w:tc>
                <w:tcPr>
                  <w:tcW w:w="1293" w:type="dxa"/>
                  <w:noWrap/>
                  <w:tcMar>
                    <w:top w:w="0" w:type="dxa"/>
                    <w:left w:w="70" w:type="dxa"/>
                    <w:bottom w:w="0" w:type="dxa"/>
                    <w:right w:w="70" w:type="dxa"/>
                  </w:tcMar>
                  <w:vAlign w:val="center"/>
                  <w:hideMark/>
                </w:tcPr>
                <w:p w14:paraId="75E78DA0" w14:textId="77777777" w:rsidR="0050022E" w:rsidRPr="00E93042" w:rsidRDefault="0050022E" w:rsidP="00583C72">
                  <w:pPr>
                    <w:ind w:left="-255" w:firstLine="255"/>
                    <w:rPr>
                      <w:rFonts w:ascii="Times New Roman" w:eastAsia="Times New Roman" w:hAnsi="Times New Roman"/>
                      <w:bCs/>
                    </w:rPr>
                  </w:pPr>
                  <w:r w:rsidRPr="00E93042">
                    <w:rPr>
                      <w:rFonts w:ascii="Times New Roman" w:eastAsia="Times New Roman" w:hAnsi="Times New Roman"/>
                      <w:bCs/>
                    </w:rPr>
                    <w:t>2027</w:t>
                  </w:r>
                </w:p>
              </w:tc>
              <w:tc>
                <w:tcPr>
                  <w:tcW w:w="2410" w:type="dxa"/>
                  <w:noWrap/>
                  <w:tcMar>
                    <w:top w:w="0" w:type="dxa"/>
                    <w:left w:w="70" w:type="dxa"/>
                    <w:bottom w:w="0" w:type="dxa"/>
                    <w:right w:w="70" w:type="dxa"/>
                  </w:tcMar>
                  <w:vAlign w:val="center"/>
                  <w:hideMark/>
                </w:tcPr>
                <w:p w14:paraId="4F311DF9" w14:textId="77777777" w:rsidR="0050022E" w:rsidRPr="00E93042" w:rsidRDefault="0050022E" w:rsidP="00583C72">
                  <w:pPr>
                    <w:ind w:left="-255" w:firstLine="255"/>
                    <w:jc w:val="center"/>
                    <w:rPr>
                      <w:rFonts w:ascii="Times New Roman" w:eastAsia="Times New Roman" w:hAnsi="Times New Roman"/>
                      <w:bCs/>
                    </w:rPr>
                  </w:pPr>
                </w:p>
              </w:tc>
              <w:tc>
                <w:tcPr>
                  <w:tcW w:w="3445" w:type="dxa"/>
                  <w:noWrap/>
                  <w:tcMar>
                    <w:top w:w="0" w:type="dxa"/>
                    <w:left w:w="70" w:type="dxa"/>
                    <w:bottom w:w="0" w:type="dxa"/>
                    <w:right w:w="70" w:type="dxa"/>
                  </w:tcMar>
                  <w:vAlign w:val="center"/>
                  <w:hideMark/>
                </w:tcPr>
                <w:p w14:paraId="2A57B432"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103,5</w:t>
                  </w:r>
                </w:p>
              </w:tc>
              <w:tc>
                <w:tcPr>
                  <w:tcW w:w="1686" w:type="dxa"/>
                  <w:noWrap/>
                  <w:tcMar>
                    <w:top w:w="0" w:type="dxa"/>
                    <w:left w:w="70" w:type="dxa"/>
                    <w:bottom w:w="0" w:type="dxa"/>
                    <w:right w:w="70" w:type="dxa"/>
                  </w:tcMar>
                  <w:vAlign w:val="center"/>
                  <w:hideMark/>
                </w:tcPr>
                <w:p w14:paraId="01A8BABC"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103,5</w:t>
                  </w:r>
                </w:p>
              </w:tc>
            </w:tr>
            <w:tr w:rsidR="0050022E" w:rsidRPr="00E93042" w14:paraId="32D1409D" w14:textId="77777777" w:rsidTr="00583C72">
              <w:trPr>
                <w:trHeight w:val="300"/>
                <w:jc w:val="right"/>
              </w:trPr>
              <w:tc>
                <w:tcPr>
                  <w:tcW w:w="1293" w:type="dxa"/>
                  <w:noWrap/>
                  <w:tcMar>
                    <w:top w:w="0" w:type="dxa"/>
                    <w:left w:w="70" w:type="dxa"/>
                    <w:bottom w:w="0" w:type="dxa"/>
                    <w:right w:w="70" w:type="dxa"/>
                  </w:tcMar>
                  <w:vAlign w:val="center"/>
                  <w:hideMark/>
                </w:tcPr>
                <w:p w14:paraId="2D2EDE85" w14:textId="77777777" w:rsidR="0050022E" w:rsidRPr="00E93042" w:rsidRDefault="0050022E" w:rsidP="00583C72">
                  <w:pPr>
                    <w:ind w:left="-255" w:firstLine="255"/>
                    <w:rPr>
                      <w:rFonts w:ascii="Times New Roman" w:eastAsia="Times New Roman" w:hAnsi="Times New Roman"/>
                      <w:bCs/>
                    </w:rPr>
                  </w:pPr>
                  <w:r w:rsidRPr="00E93042">
                    <w:rPr>
                      <w:rFonts w:ascii="Times New Roman" w:eastAsia="Times New Roman" w:hAnsi="Times New Roman"/>
                      <w:bCs/>
                    </w:rPr>
                    <w:t>2028</w:t>
                  </w:r>
                </w:p>
              </w:tc>
              <w:tc>
                <w:tcPr>
                  <w:tcW w:w="2410" w:type="dxa"/>
                  <w:noWrap/>
                  <w:tcMar>
                    <w:top w:w="0" w:type="dxa"/>
                    <w:left w:w="70" w:type="dxa"/>
                    <w:bottom w:w="0" w:type="dxa"/>
                    <w:right w:w="70" w:type="dxa"/>
                  </w:tcMar>
                  <w:vAlign w:val="center"/>
                  <w:hideMark/>
                </w:tcPr>
                <w:p w14:paraId="7A1B67A2" w14:textId="77777777" w:rsidR="0050022E" w:rsidRPr="00E93042" w:rsidRDefault="0050022E" w:rsidP="00583C72">
                  <w:pPr>
                    <w:ind w:left="-255" w:firstLine="255"/>
                    <w:jc w:val="center"/>
                    <w:rPr>
                      <w:rFonts w:ascii="Times New Roman" w:eastAsia="Times New Roman" w:hAnsi="Times New Roman"/>
                      <w:bCs/>
                    </w:rPr>
                  </w:pPr>
                </w:p>
              </w:tc>
              <w:tc>
                <w:tcPr>
                  <w:tcW w:w="3445" w:type="dxa"/>
                  <w:noWrap/>
                  <w:tcMar>
                    <w:top w:w="0" w:type="dxa"/>
                    <w:left w:w="70" w:type="dxa"/>
                    <w:bottom w:w="0" w:type="dxa"/>
                    <w:right w:w="70" w:type="dxa"/>
                  </w:tcMar>
                  <w:vAlign w:val="center"/>
                  <w:hideMark/>
                </w:tcPr>
                <w:p w14:paraId="0863B175"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69</w:t>
                  </w:r>
                </w:p>
              </w:tc>
              <w:tc>
                <w:tcPr>
                  <w:tcW w:w="1686" w:type="dxa"/>
                  <w:noWrap/>
                  <w:tcMar>
                    <w:top w:w="0" w:type="dxa"/>
                    <w:left w:w="70" w:type="dxa"/>
                    <w:bottom w:w="0" w:type="dxa"/>
                    <w:right w:w="70" w:type="dxa"/>
                  </w:tcMar>
                  <w:vAlign w:val="center"/>
                  <w:hideMark/>
                </w:tcPr>
                <w:p w14:paraId="739B95DD"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69</w:t>
                  </w:r>
                </w:p>
              </w:tc>
            </w:tr>
            <w:tr w:rsidR="0050022E" w:rsidRPr="00E93042" w14:paraId="42EC01EF" w14:textId="77777777" w:rsidTr="00583C72">
              <w:trPr>
                <w:trHeight w:val="143"/>
                <w:jc w:val="right"/>
              </w:trPr>
              <w:tc>
                <w:tcPr>
                  <w:tcW w:w="1293" w:type="dxa"/>
                  <w:shd w:val="clear" w:color="auto" w:fill="F2F2F2" w:themeFill="background1" w:themeFillShade="F2"/>
                  <w:noWrap/>
                  <w:tcMar>
                    <w:top w:w="0" w:type="dxa"/>
                    <w:left w:w="70" w:type="dxa"/>
                    <w:bottom w:w="0" w:type="dxa"/>
                    <w:right w:w="70" w:type="dxa"/>
                  </w:tcMar>
                  <w:vAlign w:val="center"/>
                  <w:hideMark/>
                </w:tcPr>
                <w:p w14:paraId="20A88E4B" w14:textId="77777777" w:rsidR="0050022E" w:rsidRPr="00E93042" w:rsidRDefault="0050022E" w:rsidP="00583C72">
                  <w:pPr>
                    <w:ind w:left="-255" w:firstLine="255"/>
                    <w:rPr>
                      <w:rFonts w:ascii="Times New Roman" w:eastAsia="Times New Roman" w:hAnsi="Times New Roman"/>
                      <w:bCs/>
                    </w:rPr>
                  </w:pPr>
                  <w:r w:rsidRPr="00E93042">
                    <w:rPr>
                      <w:rFonts w:ascii="Times New Roman" w:eastAsia="Times New Roman" w:hAnsi="Times New Roman"/>
                      <w:bCs/>
                    </w:rPr>
                    <w:t>RAZEM</w:t>
                  </w:r>
                </w:p>
              </w:tc>
              <w:tc>
                <w:tcPr>
                  <w:tcW w:w="2410" w:type="dxa"/>
                  <w:shd w:val="clear" w:color="auto" w:fill="F2F2F2" w:themeFill="background1" w:themeFillShade="F2"/>
                  <w:noWrap/>
                  <w:tcMar>
                    <w:top w:w="0" w:type="dxa"/>
                    <w:left w:w="70" w:type="dxa"/>
                    <w:bottom w:w="0" w:type="dxa"/>
                    <w:right w:w="70" w:type="dxa"/>
                  </w:tcMar>
                  <w:vAlign w:val="center"/>
                  <w:hideMark/>
                </w:tcPr>
                <w:p w14:paraId="7D67A31E"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401,3</w:t>
                  </w:r>
                </w:p>
              </w:tc>
              <w:tc>
                <w:tcPr>
                  <w:tcW w:w="3445" w:type="dxa"/>
                  <w:shd w:val="clear" w:color="auto" w:fill="F2F2F2" w:themeFill="background1" w:themeFillShade="F2"/>
                  <w:noWrap/>
                  <w:tcMar>
                    <w:top w:w="0" w:type="dxa"/>
                    <w:left w:w="70" w:type="dxa"/>
                    <w:bottom w:w="0" w:type="dxa"/>
                    <w:right w:w="70" w:type="dxa"/>
                  </w:tcMar>
                  <w:vAlign w:val="center"/>
                  <w:hideMark/>
                </w:tcPr>
                <w:p w14:paraId="0BE9A7DE"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200,9</w:t>
                  </w:r>
                </w:p>
              </w:tc>
              <w:tc>
                <w:tcPr>
                  <w:tcW w:w="1686" w:type="dxa"/>
                  <w:shd w:val="clear" w:color="auto" w:fill="F2F2F2" w:themeFill="background1" w:themeFillShade="F2"/>
                  <w:noWrap/>
                  <w:tcMar>
                    <w:top w:w="0" w:type="dxa"/>
                    <w:left w:w="70" w:type="dxa"/>
                    <w:bottom w:w="0" w:type="dxa"/>
                    <w:right w:w="70" w:type="dxa"/>
                  </w:tcMar>
                  <w:vAlign w:val="center"/>
                  <w:hideMark/>
                </w:tcPr>
                <w:p w14:paraId="1DD9ADC4" w14:textId="77777777" w:rsidR="0050022E" w:rsidRPr="00E93042" w:rsidRDefault="0050022E" w:rsidP="00583C72">
                  <w:pPr>
                    <w:ind w:left="-255" w:firstLine="255"/>
                    <w:jc w:val="center"/>
                    <w:rPr>
                      <w:rFonts w:ascii="Times New Roman" w:eastAsia="Times New Roman" w:hAnsi="Times New Roman"/>
                      <w:bCs/>
                    </w:rPr>
                  </w:pPr>
                  <w:r w:rsidRPr="00E93042">
                    <w:rPr>
                      <w:rFonts w:ascii="Times New Roman" w:eastAsia="Times New Roman" w:hAnsi="Times New Roman"/>
                      <w:bCs/>
                    </w:rPr>
                    <w:t>602,20</w:t>
                  </w:r>
                </w:p>
              </w:tc>
            </w:tr>
          </w:tbl>
          <w:p w14:paraId="7312FD78"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Ww. kwoty zostały przyjęte w projekcie ustawy jako dodatkowe limity wydatków na zasilenie Funduszu Dopłat w celu realizacji programu SBC. </w:t>
            </w:r>
          </w:p>
          <w:p w14:paraId="3A92E805"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 xml:space="preserve">W tabeli ogólnej dotyczącej skutków finansowych uwzględniono pomniejszenie o aktualnie zaplanowane limity na 2025 r. (1 mld zł w przypadku BSK i 359,6 w przypadku SBC). </w:t>
            </w:r>
          </w:p>
          <w:p w14:paraId="30DBD25F"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Poniższa tabela prezentuje zakładane skutki finansowe w zakresie programu BSK i SBC:</w:t>
            </w:r>
          </w:p>
          <w:p w14:paraId="7C225615" w14:textId="77777777" w:rsidR="0050022E" w:rsidRPr="00E93042" w:rsidRDefault="0050022E" w:rsidP="00583C72">
            <w:pPr>
              <w:spacing w:after="120"/>
              <w:jc w:val="right"/>
              <w:rPr>
                <w:rFonts w:ascii="Times New Roman" w:hAnsi="Times New Roman"/>
                <w:i/>
                <w:iCs/>
                <w:color w:val="000000"/>
              </w:rPr>
            </w:pPr>
            <w:r w:rsidRPr="00E93042">
              <w:rPr>
                <w:rFonts w:ascii="Times New Roman" w:hAnsi="Times New Roman"/>
                <w:i/>
                <w:iCs/>
                <w:color w:val="000000"/>
              </w:rPr>
              <w:t xml:space="preserve"> w mln zł</w:t>
            </w:r>
          </w:p>
          <w:tbl>
            <w:tblPr>
              <w:tblW w:w="8834" w:type="dxa"/>
              <w:tblLayout w:type="fixed"/>
              <w:tblCellMar>
                <w:left w:w="70" w:type="dxa"/>
                <w:right w:w="70" w:type="dxa"/>
              </w:tblCellMar>
              <w:tblLook w:val="04A0" w:firstRow="1" w:lastRow="0" w:firstColumn="1" w:lastColumn="0" w:noHBand="0" w:noVBand="1"/>
            </w:tblPr>
            <w:tblGrid>
              <w:gridCol w:w="2824"/>
              <w:gridCol w:w="855"/>
              <w:gridCol w:w="855"/>
              <w:gridCol w:w="966"/>
              <w:gridCol w:w="1038"/>
              <w:gridCol w:w="1134"/>
              <w:gridCol w:w="1162"/>
            </w:tblGrid>
            <w:tr w:rsidR="00E93042" w:rsidRPr="00E93042" w14:paraId="5AE96314" w14:textId="77777777" w:rsidTr="00583C72">
              <w:trPr>
                <w:trHeight w:val="290"/>
              </w:trPr>
              <w:tc>
                <w:tcPr>
                  <w:tcW w:w="2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4D6016"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Rok</w:t>
                  </w:r>
                </w:p>
              </w:tc>
              <w:tc>
                <w:tcPr>
                  <w:tcW w:w="85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F6BFA97"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2025</w:t>
                  </w:r>
                </w:p>
              </w:tc>
              <w:tc>
                <w:tcPr>
                  <w:tcW w:w="85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796172"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2026</w:t>
                  </w:r>
                </w:p>
              </w:tc>
              <w:tc>
                <w:tcPr>
                  <w:tcW w:w="96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9C5683"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2027</w:t>
                  </w:r>
                </w:p>
              </w:tc>
              <w:tc>
                <w:tcPr>
                  <w:tcW w:w="103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3AFC26C"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2028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C2731E"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2029</w:t>
                  </w:r>
                </w:p>
              </w:tc>
              <w:tc>
                <w:tcPr>
                  <w:tcW w:w="116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C6FD1F"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2030</w:t>
                  </w:r>
                </w:p>
              </w:tc>
            </w:tr>
            <w:tr w:rsidR="0050022E" w:rsidRPr="00E93042" w14:paraId="01650853" w14:textId="77777777" w:rsidTr="00583C72">
              <w:trPr>
                <w:trHeight w:val="990"/>
              </w:trPr>
              <w:tc>
                <w:tcPr>
                  <w:tcW w:w="2826" w:type="dxa"/>
                  <w:tcBorders>
                    <w:top w:val="nil"/>
                    <w:left w:val="single" w:sz="4" w:space="0" w:color="auto"/>
                    <w:bottom w:val="single" w:sz="4" w:space="0" w:color="auto"/>
                    <w:right w:val="single" w:sz="4" w:space="0" w:color="auto"/>
                  </w:tcBorders>
                  <w:shd w:val="clear" w:color="auto" w:fill="auto"/>
                  <w:vAlign w:val="center"/>
                  <w:hideMark/>
                </w:tcPr>
                <w:p w14:paraId="468AE7C8" w14:textId="77777777" w:rsidR="0050022E" w:rsidRPr="00E93042" w:rsidRDefault="0050022E" w:rsidP="00583C72">
                  <w:pPr>
                    <w:spacing w:line="240" w:lineRule="auto"/>
                    <w:rPr>
                      <w:rFonts w:ascii="Times New Roman" w:eastAsia="Times New Roman" w:hAnsi="Times New Roman"/>
                      <w:color w:val="000000"/>
                    </w:rPr>
                  </w:pPr>
                  <w:r w:rsidRPr="00E93042">
                    <w:rPr>
                      <w:rFonts w:ascii="Times New Roman" w:eastAsia="Times New Roman" w:hAnsi="Times New Roman"/>
                      <w:color w:val="000000"/>
                    </w:rPr>
                    <w:t>Skutki finansowe programu BSK dla budżetu państwa uwzględniające limit aktualnie zaplanowany na 2025 r. (w latach 2026-2030 zakładany coroczny 10-20% wzrost zainteresowania programem BSK,)</w:t>
                  </w:r>
                </w:p>
              </w:tc>
              <w:tc>
                <w:tcPr>
                  <w:tcW w:w="854" w:type="dxa"/>
                  <w:tcBorders>
                    <w:top w:val="nil"/>
                    <w:left w:val="nil"/>
                    <w:bottom w:val="single" w:sz="4" w:space="0" w:color="auto"/>
                    <w:right w:val="single" w:sz="4" w:space="0" w:color="auto"/>
                  </w:tcBorders>
                  <w:shd w:val="clear" w:color="auto" w:fill="auto"/>
                  <w:noWrap/>
                  <w:vAlign w:val="center"/>
                  <w:hideMark/>
                </w:tcPr>
                <w:p w14:paraId="59EAC49D"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3943,30</w:t>
                  </w:r>
                </w:p>
              </w:tc>
              <w:tc>
                <w:tcPr>
                  <w:tcW w:w="854" w:type="dxa"/>
                  <w:tcBorders>
                    <w:top w:val="nil"/>
                    <w:left w:val="nil"/>
                    <w:bottom w:val="single" w:sz="4" w:space="0" w:color="auto"/>
                    <w:right w:val="single" w:sz="4" w:space="0" w:color="auto"/>
                  </w:tcBorders>
                  <w:shd w:val="clear" w:color="auto" w:fill="auto"/>
                  <w:noWrap/>
                  <w:vAlign w:val="center"/>
                  <w:hideMark/>
                </w:tcPr>
                <w:p w14:paraId="1E859686"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5627,00</w:t>
                  </w:r>
                </w:p>
              </w:tc>
              <w:tc>
                <w:tcPr>
                  <w:tcW w:w="966" w:type="dxa"/>
                  <w:tcBorders>
                    <w:top w:val="nil"/>
                    <w:left w:val="nil"/>
                    <w:bottom w:val="single" w:sz="4" w:space="0" w:color="auto"/>
                    <w:right w:val="single" w:sz="4" w:space="0" w:color="auto"/>
                  </w:tcBorders>
                  <w:shd w:val="clear" w:color="auto" w:fill="auto"/>
                  <w:noWrap/>
                  <w:vAlign w:val="center"/>
                  <w:hideMark/>
                </w:tcPr>
                <w:p w14:paraId="05EC6435"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6896,50</w:t>
                  </w:r>
                </w:p>
              </w:tc>
              <w:tc>
                <w:tcPr>
                  <w:tcW w:w="1038" w:type="dxa"/>
                  <w:tcBorders>
                    <w:top w:val="nil"/>
                    <w:left w:val="nil"/>
                    <w:bottom w:val="single" w:sz="4" w:space="0" w:color="auto"/>
                    <w:right w:val="single" w:sz="4" w:space="0" w:color="auto"/>
                  </w:tcBorders>
                  <w:shd w:val="clear" w:color="auto" w:fill="auto"/>
                  <w:noWrap/>
                  <w:vAlign w:val="center"/>
                  <w:hideMark/>
                </w:tcPr>
                <w:p w14:paraId="58CCEA58"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7931,00</w:t>
                  </w:r>
                </w:p>
              </w:tc>
              <w:tc>
                <w:tcPr>
                  <w:tcW w:w="1134" w:type="dxa"/>
                  <w:tcBorders>
                    <w:top w:val="nil"/>
                    <w:left w:val="nil"/>
                    <w:bottom w:val="single" w:sz="4" w:space="0" w:color="auto"/>
                    <w:right w:val="single" w:sz="4" w:space="0" w:color="auto"/>
                  </w:tcBorders>
                  <w:shd w:val="clear" w:color="auto" w:fill="auto"/>
                  <w:noWrap/>
                  <w:vAlign w:val="center"/>
                  <w:hideMark/>
                </w:tcPr>
                <w:p w14:paraId="48470870"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9000</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81B7BB0"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10000</w:t>
                  </w:r>
                </w:p>
              </w:tc>
            </w:tr>
            <w:tr w:rsidR="0050022E" w:rsidRPr="00E93042" w14:paraId="767F8448" w14:textId="77777777" w:rsidTr="00583C72">
              <w:trPr>
                <w:trHeight w:val="990"/>
              </w:trPr>
              <w:tc>
                <w:tcPr>
                  <w:tcW w:w="2826" w:type="dxa"/>
                  <w:tcBorders>
                    <w:top w:val="nil"/>
                    <w:left w:val="single" w:sz="4" w:space="0" w:color="auto"/>
                    <w:bottom w:val="single" w:sz="4" w:space="0" w:color="auto"/>
                    <w:right w:val="single" w:sz="4" w:space="0" w:color="auto"/>
                  </w:tcBorders>
                  <w:shd w:val="clear" w:color="auto" w:fill="auto"/>
                  <w:vAlign w:val="center"/>
                </w:tcPr>
                <w:p w14:paraId="1BFD1585" w14:textId="77777777" w:rsidR="0050022E" w:rsidRPr="00E93042" w:rsidRDefault="0050022E" w:rsidP="00583C72">
                  <w:pPr>
                    <w:spacing w:line="240" w:lineRule="auto"/>
                    <w:rPr>
                      <w:rFonts w:ascii="Times New Roman" w:eastAsia="Times New Roman" w:hAnsi="Times New Roman"/>
                      <w:color w:val="000000"/>
                    </w:rPr>
                  </w:pPr>
                  <w:r w:rsidRPr="00E93042">
                    <w:rPr>
                      <w:rFonts w:ascii="Times New Roman" w:eastAsia="Times New Roman" w:hAnsi="Times New Roman"/>
                      <w:color w:val="000000"/>
                    </w:rPr>
                    <w:lastRenderedPageBreak/>
                    <w:t>Pula środków, która będzie wydzielana w ramach kwoty dostępnej na realizację programu BSK na finansowe wsparcie powierzchni zaspokajających potrzeby mieszkaniowe studentów (10% kwoty dostępnej na dany rok)</w:t>
                  </w:r>
                </w:p>
              </w:tc>
              <w:tc>
                <w:tcPr>
                  <w:tcW w:w="854" w:type="dxa"/>
                  <w:tcBorders>
                    <w:top w:val="nil"/>
                    <w:left w:val="nil"/>
                    <w:bottom w:val="single" w:sz="4" w:space="0" w:color="auto"/>
                    <w:right w:val="single" w:sz="4" w:space="0" w:color="auto"/>
                  </w:tcBorders>
                  <w:shd w:val="clear" w:color="auto" w:fill="auto"/>
                  <w:noWrap/>
                  <w:vAlign w:val="center"/>
                </w:tcPr>
                <w:p w14:paraId="572F6017"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494,33</w:t>
                  </w:r>
                </w:p>
              </w:tc>
              <w:tc>
                <w:tcPr>
                  <w:tcW w:w="854" w:type="dxa"/>
                  <w:tcBorders>
                    <w:top w:val="nil"/>
                    <w:left w:val="nil"/>
                    <w:bottom w:val="single" w:sz="4" w:space="0" w:color="auto"/>
                    <w:right w:val="single" w:sz="4" w:space="0" w:color="auto"/>
                  </w:tcBorders>
                  <w:shd w:val="clear" w:color="auto" w:fill="auto"/>
                  <w:noWrap/>
                  <w:vAlign w:val="center"/>
                </w:tcPr>
                <w:p w14:paraId="4F86305A"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562,7</w:t>
                  </w:r>
                </w:p>
              </w:tc>
              <w:tc>
                <w:tcPr>
                  <w:tcW w:w="966" w:type="dxa"/>
                  <w:tcBorders>
                    <w:top w:val="nil"/>
                    <w:left w:val="nil"/>
                    <w:bottom w:val="single" w:sz="4" w:space="0" w:color="auto"/>
                    <w:right w:val="single" w:sz="4" w:space="0" w:color="auto"/>
                  </w:tcBorders>
                  <w:shd w:val="clear" w:color="auto" w:fill="auto"/>
                  <w:noWrap/>
                  <w:vAlign w:val="center"/>
                </w:tcPr>
                <w:p w14:paraId="69F9D4B2"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689,65</w:t>
                  </w:r>
                </w:p>
              </w:tc>
              <w:tc>
                <w:tcPr>
                  <w:tcW w:w="1038" w:type="dxa"/>
                  <w:tcBorders>
                    <w:top w:val="nil"/>
                    <w:left w:val="nil"/>
                    <w:bottom w:val="single" w:sz="4" w:space="0" w:color="auto"/>
                    <w:right w:val="single" w:sz="4" w:space="0" w:color="auto"/>
                  </w:tcBorders>
                  <w:shd w:val="clear" w:color="auto" w:fill="auto"/>
                  <w:noWrap/>
                  <w:vAlign w:val="center"/>
                </w:tcPr>
                <w:p w14:paraId="30618F00"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793,1</w:t>
                  </w:r>
                </w:p>
              </w:tc>
              <w:tc>
                <w:tcPr>
                  <w:tcW w:w="1134" w:type="dxa"/>
                  <w:tcBorders>
                    <w:top w:val="nil"/>
                    <w:left w:val="nil"/>
                    <w:bottom w:val="single" w:sz="4" w:space="0" w:color="auto"/>
                    <w:right w:val="single" w:sz="4" w:space="0" w:color="auto"/>
                  </w:tcBorders>
                  <w:shd w:val="clear" w:color="auto" w:fill="auto"/>
                  <w:noWrap/>
                  <w:vAlign w:val="center"/>
                </w:tcPr>
                <w:p w14:paraId="29B7C0C7"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900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96B5A9A"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1000</w:t>
                  </w:r>
                </w:p>
              </w:tc>
            </w:tr>
            <w:tr w:rsidR="0050022E" w:rsidRPr="00E93042" w14:paraId="14E82A30" w14:textId="77777777" w:rsidTr="00583C72">
              <w:trPr>
                <w:trHeight w:val="990"/>
              </w:trPr>
              <w:tc>
                <w:tcPr>
                  <w:tcW w:w="2826" w:type="dxa"/>
                  <w:tcBorders>
                    <w:top w:val="nil"/>
                    <w:left w:val="single" w:sz="4" w:space="0" w:color="auto"/>
                    <w:bottom w:val="single" w:sz="4" w:space="0" w:color="auto"/>
                    <w:right w:val="single" w:sz="4" w:space="0" w:color="auto"/>
                  </w:tcBorders>
                  <w:shd w:val="clear" w:color="auto" w:fill="auto"/>
                  <w:vAlign w:val="center"/>
                </w:tcPr>
                <w:p w14:paraId="1502C328" w14:textId="77777777" w:rsidR="0050022E" w:rsidRPr="00E93042" w:rsidRDefault="0050022E" w:rsidP="00583C72">
                  <w:pPr>
                    <w:spacing w:line="240" w:lineRule="auto"/>
                    <w:rPr>
                      <w:rFonts w:ascii="Times New Roman" w:eastAsia="Times New Roman" w:hAnsi="Times New Roman"/>
                      <w:color w:val="000000"/>
                    </w:rPr>
                  </w:pPr>
                  <w:r w:rsidRPr="00E93042">
                    <w:rPr>
                      <w:rFonts w:ascii="Times New Roman" w:eastAsia="Times New Roman" w:hAnsi="Times New Roman"/>
                      <w:color w:val="000000"/>
                    </w:rPr>
                    <w:t>Szacowane środki w ramach programu BSK, które będą przeznaczane na remonty gminnych pustostanów</w:t>
                  </w:r>
                </w:p>
              </w:tc>
              <w:tc>
                <w:tcPr>
                  <w:tcW w:w="854" w:type="dxa"/>
                  <w:tcBorders>
                    <w:top w:val="nil"/>
                    <w:left w:val="nil"/>
                    <w:bottom w:val="single" w:sz="4" w:space="0" w:color="auto"/>
                    <w:right w:val="single" w:sz="4" w:space="0" w:color="auto"/>
                  </w:tcBorders>
                  <w:shd w:val="clear" w:color="auto" w:fill="auto"/>
                  <w:noWrap/>
                  <w:vAlign w:val="center"/>
                </w:tcPr>
                <w:p w14:paraId="260598E5"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988,66</w:t>
                  </w:r>
                </w:p>
              </w:tc>
              <w:tc>
                <w:tcPr>
                  <w:tcW w:w="854" w:type="dxa"/>
                  <w:tcBorders>
                    <w:top w:val="nil"/>
                    <w:left w:val="nil"/>
                    <w:bottom w:val="single" w:sz="4" w:space="0" w:color="auto"/>
                    <w:right w:val="single" w:sz="4" w:space="0" w:color="auto"/>
                  </w:tcBorders>
                  <w:shd w:val="clear" w:color="auto" w:fill="auto"/>
                  <w:noWrap/>
                  <w:vAlign w:val="center"/>
                </w:tcPr>
                <w:p w14:paraId="3FC747FB"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1125,4</w:t>
                  </w:r>
                </w:p>
              </w:tc>
              <w:tc>
                <w:tcPr>
                  <w:tcW w:w="966" w:type="dxa"/>
                  <w:tcBorders>
                    <w:top w:val="nil"/>
                    <w:left w:val="nil"/>
                    <w:bottom w:val="single" w:sz="4" w:space="0" w:color="auto"/>
                    <w:right w:val="single" w:sz="4" w:space="0" w:color="auto"/>
                  </w:tcBorders>
                  <w:shd w:val="clear" w:color="auto" w:fill="auto"/>
                  <w:noWrap/>
                  <w:vAlign w:val="center"/>
                </w:tcPr>
                <w:p w14:paraId="5B214A43"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1724,125</w:t>
                  </w:r>
                </w:p>
              </w:tc>
              <w:tc>
                <w:tcPr>
                  <w:tcW w:w="1038" w:type="dxa"/>
                  <w:tcBorders>
                    <w:top w:val="nil"/>
                    <w:left w:val="nil"/>
                    <w:bottom w:val="single" w:sz="4" w:space="0" w:color="auto"/>
                    <w:right w:val="single" w:sz="4" w:space="0" w:color="auto"/>
                  </w:tcBorders>
                  <w:shd w:val="clear" w:color="auto" w:fill="auto"/>
                  <w:noWrap/>
                  <w:vAlign w:val="center"/>
                </w:tcPr>
                <w:p w14:paraId="272AE3A1"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1982,75</w:t>
                  </w:r>
                </w:p>
              </w:tc>
              <w:tc>
                <w:tcPr>
                  <w:tcW w:w="1134" w:type="dxa"/>
                  <w:tcBorders>
                    <w:top w:val="nil"/>
                    <w:left w:val="nil"/>
                    <w:bottom w:val="single" w:sz="4" w:space="0" w:color="auto"/>
                    <w:right w:val="single" w:sz="4" w:space="0" w:color="auto"/>
                  </w:tcBorders>
                  <w:shd w:val="clear" w:color="auto" w:fill="auto"/>
                  <w:noWrap/>
                  <w:vAlign w:val="center"/>
                </w:tcPr>
                <w:p w14:paraId="336B518F"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2250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724AC06"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2500</w:t>
                  </w:r>
                </w:p>
              </w:tc>
            </w:tr>
            <w:tr w:rsidR="0050022E" w:rsidRPr="00E93042" w14:paraId="213C7591" w14:textId="77777777" w:rsidTr="00583C72">
              <w:trPr>
                <w:trHeight w:val="990"/>
              </w:trPr>
              <w:tc>
                <w:tcPr>
                  <w:tcW w:w="2826" w:type="dxa"/>
                  <w:tcBorders>
                    <w:top w:val="nil"/>
                    <w:left w:val="single" w:sz="4" w:space="0" w:color="auto"/>
                    <w:bottom w:val="single" w:sz="4" w:space="0" w:color="auto"/>
                    <w:right w:val="single" w:sz="4" w:space="0" w:color="auto"/>
                  </w:tcBorders>
                  <w:shd w:val="clear" w:color="auto" w:fill="auto"/>
                  <w:vAlign w:val="center"/>
                </w:tcPr>
                <w:p w14:paraId="29A73C45" w14:textId="77777777" w:rsidR="0050022E" w:rsidRPr="00E93042" w:rsidRDefault="0050022E" w:rsidP="00583C72">
                  <w:pPr>
                    <w:spacing w:line="240" w:lineRule="auto"/>
                    <w:rPr>
                      <w:rFonts w:ascii="Times New Roman" w:eastAsia="Times New Roman" w:hAnsi="Times New Roman"/>
                      <w:color w:val="000000"/>
                    </w:rPr>
                  </w:pPr>
                  <w:r w:rsidRPr="00E93042">
                    <w:rPr>
                      <w:rFonts w:ascii="Times New Roman" w:eastAsia="Times New Roman" w:hAnsi="Times New Roman"/>
                      <w:color w:val="000000"/>
                    </w:rPr>
                    <w:t>Skutki finansowe dla budżetu państwa dla programu SBC uwzględniające limity aktualnie zaplanowane na lata2024-2027</w:t>
                  </w:r>
                </w:p>
              </w:tc>
              <w:tc>
                <w:tcPr>
                  <w:tcW w:w="854" w:type="dxa"/>
                  <w:tcBorders>
                    <w:top w:val="nil"/>
                    <w:left w:val="nil"/>
                    <w:bottom w:val="single" w:sz="4" w:space="0" w:color="auto"/>
                    <w:right w:val="single" w:sz="4" w:space="0" w:color="auto"/>
                  </w:tcBorders>
                  <w:shd w:val="clear" w:color="auto" w:fill="auto"/>
                  <w:noWrap/>
                  <w:vAlign w:val="center"/>
                </w:tcPr>
                <w:p w14:paraId="0FBFEBD3"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56,70</w:t>
                  </w:r>
                </w:p>
              </w:tc>
              <w:tc>
                <w:tcPr>
                  <w:tcW w:w="854" w:type="dxa"/>
                  <w:tcBorders>
                    <w:top w:val="nil"/>
                    <w:left w:val="nil"/>
                    <w:bottom w:val="single" w:sz="4" w:space="0" w:color="auto"/>
                    <w:right w:val="single" w:sz="4" w:space="0" w:color="auto"/>
                  </w:tcBorders>
                  <w:shd w:val="clear" w:color="auto" w:fill="auto"/>
                  <w:noWrap/>
                  <w:vAlign w:val="center"/>
                </w:tcPr>
                <w:p w14:paraId="50C6BF70"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373,00</w:t>
                  </w:r>
                </w:p>
              </w:tc>
              <w:tc>
                <w:tcPr>
                  <w:tcW w:w="966" w:type="dxa"/>
                  <w:tcBorders>
                    <w:top w:val="nil"/>
                    <w:left w:val="nil"/>
                    <w:bottom w:val="single" w:sz="4" w:space="0" w:color="auto"/>
                    <w:right w:val="single" w:sz="4" w:space="0" w:color="auto"/>
                  </w:tcBorders>
                  <w:shd w:val="clear" w:color="auto" w:fill="auto"/>
                  <w:noWrap/>
                  <w:vAlign w:val="center"/>
                </w:tcPr>
                <w:p w14:paraId="73AB17F5"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103,50</w:t>
                  </w:r>
                </w:p>
              </w:tc>
              <w:tc>
                <w:tcPr>
                  <w:tcW w:w="1038" w:type="dxa"/>
                  <w:tcBorders>
                    <w:top w:val="nil"/>
                    <w:left w:val="nil"/>
                    <w:bottom w:val="single" w:sz="4" w:space="0" w:color="auto"/>
                    <w:right w:val="single" w:sz="4" w:space="0" w:color="auto"/>
                  </w:tcBorders>
                  <w:shd w:val="clear" w:color="auto" w:fill="auto"/>
                  <w:noWrap/>
                  <w:vAlign w:val="center"/>
                </w:tcPr>
                <w:p w14:paraId="05C2FDE8" w14:textId="77777777" w:rsidR="0050022E" w:rsidRPr="00E93042" w:rsidRDefault="0050022E" w:rsidP="00583C72">
                  <w:pPr>
                    <w:spacing w:line="240" w:lineRule="auto"/>
                    <w:jc w:val="center"/>
                    <w:rPr>
                      <w:rFonts w:ascii="Times New Roman" w:eastAsia="Times New Roman" w:hAnsi="Times New Roman"/>
                      <w:color w:val="000000"/>
                    </w:rPr>
                  </w:pPr>
                </w:p>
                <w:p w14:paraId="24934FFA" w14:textId="77777777" w:rsidR="0050022E" w:rsidRPr="00E93042" w:rsidRDefault="0050022E" w:rsidP="00583C72">
                  <w:pPr>
                    <w:spacing w:line="240" w:lineRule="auto"/>
                    <w:jc w:val="center"/>
                    <w:rPr>
                      <w:rFonts w:ascii="Times New Roman" w:eastAsia="Times New Roman" w:hAnsi="Times New Roman"/>
                      <w:color w:val="000000"/>
                    </w:rPr>
                  </w:pPr>
                </w:p>
                <w:p w14:paraId="426FE11E"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69,0</w:t>
                  </w:r>
                </w:p>
                <w:p w14:paraId="591C17AF" w14:textId="77777777" w:rsidR="0050022E" w:rsidRPr="00E93042" w:rsidRDefault="0050022E" w:rsidP="00583C72">
                  <w:pPr>
                    <w:spacing w:line="240" w:lineRule="auto"/>
                    <w:jc w:val="center"/>
                    <w:rPr>
                      <w:rFonts w:ascii="Times New Roman" w:eastAsia="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25C581F9" w14:textId="77777777" w:rsidR="0050022E" w:rsidRPr="00E93042" w:rsidRDefault="0050022E" w:rsidP="00583C72">
                  <w:pPr>
                    <w:spacing w:line="240" w:lineRule="auto"/>
                    <w:jc w:val="center"/>
                    <w:rPr>
                      <w:rFonts w:ascii="Times New Roman" w:eastAsia="Times New Roman" w:hAnsi="Times New Roman"/>
                      <w:color w:val="000000"/>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517E86D" w14:textId="77777777" w:rsidR="0050022E" w:rsidRPr="00E93042" w:rsidRDefault="0050022E" w:rsidP="00583C72">
                  <w:pPr>
                    <w:spacing w:line="240" w:lineRule="auto"/>
                    <w:jc w:val="center"/>
                    <w:rPr>
                      <w:rFonts w:ascii="Times New Roman" w:eastAsia="Times New Roman" w:hAnsi="Times New Roman"/>
                      <w:color w:val="000000"/>
                    </w:rPr>
                  </w:pPr>
                </w:p>
              </w:tc>
            </w:tr>
            <w:tr w:rsidR="0050022E" w:rsidRPr="00E93042" w14:paraId="74E82E7A" w14:textId="77777777" w:rsidTr="00583C72">
              <w:trPr>
                <w:trHeight w:val="720"/>
              </w:trPr>
              <w:tc>
                <w:tcPr>
                  <w:tcW w:w="2826" w:type="dxa"/>
                  <w:tcBorders>
                    <w:top w:val="nil"/>
                    <w:left w:val="single" w:sz="4" w:space="0" w:color="auto"/>
                    <w:bottom w:val="single" w:sz="4" w:space="0" w:color="auto"/>
                    <w:right w:val="single" w:sz="4" w:space="0" w:color="auto"/>
                  </w:tcBorders>
                  <w:shd w:val="clear" w:color="auto" w:fill="auto"/>
                  <w:vAlign w:val="center"/>
                  <w:hideMark/>
                </w:tcPr>
                <w:p w14:paraId="2776F898" w14:textId="77777777" w:rsidR="0050022E" w:rsidRPr="00E93042" w:rsidRDefault="0050022E" w:rsidP="00583C72">
                  <w:pPr>
                    <w:spacing w:line="240" w:lineRule="auto"/>
                    <w:rPr>
                      <w:rFonts w:ascii="Times New Roman" w:eastAsia="Times New Roman" w:hAnsi="Times New Roman"/>
                      <w:color w:val="000000"/>
                    </w:rPr>
                  </w:pPr>
                  <w:r w:rsidRPr="00E93042">
                    <w:rPr>
                      <w:rFonts w:ascii="Times New Roman" w:eastAsia="Times New Roman" w:hAnsi="Times New Roman"/>
                      <w:color w:val="000000"/>
                    </w:rPr>
                    <w:t>SUMA przyjętych w projekcie skutków finansowych dla budżetu państwa uwzględniająca aktualne limity wydatków budżetowych na programy BSK i SBC</w:t>
                  </w:r>
                </w:p>
              </w:tc>
              <w:tc>
                <w:tcPr>
                  <w:tcW w:w="854" w:type="dxa"/>
                  <w:tcBorders>
                    <w:top w:val="nil"/>
                    <w:left w:val="nil"/>
                    <w:bottom w:val="single" w:sz="4" w:space="0" w:color="auto"/>
                    <w:right w:val="single" w:sz="4" w:space="0" w:color="auto"/>
                  </w:tcBorders>
                  <w:shd w:val="clear" w:color="auto" w:fill="auto"/>
                  <w:noWrap/>
                  <w:vAlign w:val="center"/>
                </w:tcPr>
                <w:p w14:paraId="1A2BAC8C"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4000</w:t>
                  </w:r>
                </w:p>
                <w:p w14:paraId="18873BB9"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(-400)</w:t>
                  </w:r>
                </w:p>
              </w:tc>
              <w:tc>
                <w:tcPr>
                  <w:tcW w:w="854" w:type="dxa"/>
                  <w:tcBorders>
                    <w:top w:val="nil"/>
                    <w:left w:val="nil"/>
                    <w:bottom w:val="single" w:sz="4" w:space="0" w:color="auto"/>
                    <w:right w:val="single" w:sz="4" w:space="0" w:color="auto"/>
                  </w:tcBorders>
                  <w:shd w:val="clear" w:color="auto" w:fill="auto"/>
                  <w:noWrap/>
                  <w:vAlign w:val="center"/>
                </w:tcPr>
                <w:p w14:paraId="170AD8EA"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6000</w:t>
                  </w:r>
                </w:p>
              </w:tc>
              <w:tc>
                <w:tcPr>
                  <w:tcW w:w="966" w:type="dxa"/>
                  <w:tcBorders>
                    <w:top w:val="nil"/>
                    <w:left w:val="nil"/>
                    <w:bottom w:val="single" w:sz="4" w:space="0" w:color="auto"/>
                    <w:right w:val="single" w:sz="4" w:space="0" w:color="auto"/>
                  </w:tcBorders>
                  <w:shd w:val="clear" w:color="auto" w:fill="auto"/>
                  <w:noWrap/>
                  <w:vAlign w:val="center"/>
                </w:tcPr>
                <w:p w14:paraId="16303F09"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7000</w:t>
                  </w:r>
                </w:p>
              </w:tc>
              <w:tc>
                <w:tcPr>
                  <w:tcW w:w="1038" w:type="dxa"/>
                  <w:tcBorders>
                    <w:top w:val="nil"/>
                    <w:left w:val="nil"/>
                    <w:bottom w:val="single" w:sz="4" w:space="0" w:color="auto"/>
                    <w:right w:val="single" w:sz="4" w:space="0" w:color="auto"/>
                  </w:tcBorders>
                  <w:shd w:val="clear" w:color="auto" w:fill="auto"/>
                  <w:noWrap/>
                  <w:vAlign w:val="center"/>
                </w:tcPr>
                <w:p w14:paraId="53EEEE52"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8000</w:t>
                  </w:r>
                </w:p>
              </w:tc>
              <w:tc>
                <w:tcPr>
                  <w:tcW w:w="1134" w:type="dxa"/>
                  <w:tcBorders>
                    <w:top w:val="nil"/>
                    <w:left w:val="nil"/>
                    <w:bottom w:val="single" w:sz="4" w:space="0" w:color="auto"/>
                    <w:right w:val="single" w:sz="4" w:space="0" w:color="auto"/>
                  </w:tcBorders>
                  <w:shd w:val="clear" w:color="auto" w:fill="auto"/>
                  <w:noWrap/>
                  <w:vAlign w:val="center"/>
                </w:tcPr>
                <w:p w14:paraId="1039A685"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9000</w:t>
                  </w:r>
                </w:p>
              </w:tc>
              <w:tc>
                <w:tcPr>
                  <w:tcW w:w="1162" w:type="dxa"/>
                  <w:tcBorders>
                    <w:top w:val="nil"/>
                    <w:left w:val="nil"/>
                    <w:bottom w:val="single" w:sz="4" w:space="0" w:color="auto"/>
                    <w:right w:val="single" w:sz="4" w:space="0" w:color="auto"/>
                  </w:tcBorders>
                  <w:shd w:val="clear" w:color="auto" w:fill="auto"/>
                  <w:noWrap/>
                  <w:vAlign w:val="center"/>
                </w:tcPr>
                <w:p w14:paraId="0EB5F0EB" w14:textId="77777777" w:rsidR="0050022E" w:rsidRPr="00E93042" w:rsidRDefault="0050022E" w:rsidP="00583C72">
                  <w:pPr>
                    <w:spacing w:line="240" w:lineRule="auto"/>
                    <w:jc w:val="center"/>
                    <w:rPr>
                      <w:rFonts w:ascii="Times New Roman" w:eastAsia="Times New Roman" w:hAnsi="Times New Roman"/>
                      <w:color w:val="000000"/>
                    </w:rPr>
                  </w:pPr>
                  <w:r w:rsidRPr="00E93042">
                    <w:rPr>
                      <w:rFonts w:ascii="Times New Roman" w:eastAsia="Times New Roman" w:hAnsi="Times New Roman"/>
                      <w:color w:val="000000"/>
                    </w:rPr>
                    <w:t>10000</w:t>
                  </w:r>
                </w:p>
              </w:tc>
            </w:tr>
            <w:tr w:rsidR="00E93042" w:rsidRPr="00E93042" w14:paraId="4FB10E15" w14:textId="77777777" w:rsidTr="00583C72">
              <w:trPr>
                <w:trHeight w:val="480"/>
              </w:trPr>
              <w:tc>
                <w:tcPr>
                  <w:tcW w:w="28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4BE6A0" w14:textId="77777777" w:rsidR="0050022E" w:rsidRPr="00E93042" w:rsidRDefault="0050022E" w:rsidP="00583C72">
                  <w:pPr>
                    <w:spacing w:line="240" w:lineRule="auto"/>
                    <w:rPr>
                      <w:rFonts w:ascii="Times New Roman" w:eastAsia="Times New Roman" w:hAnsi="Times New Roman"/>
                      <w:b/>
                      <w:bCs/>
                      <w:color w:val="000000"/>
                    </w:rPr>
                  </w:pPr>
                  <w:r w:rsidRPr="00E93042">
                    <w:rPr>
                      <w:rFonts w:ascii="Times New Roman" w:eastAsia="Times New Roman" w:hAnsi="Times New Roman"/>
                      <w:b/>
                      <w:bCs/>
                      <w:color w:val="000000"/>
                    </w:rPr>
                    <w:t>Skutki finansowe po zaokrągleniu do pełnych mld zł</w:t>
                  </w:r>
                </w:p>
              </w:tc>
              <w:tc>
                <w:tcPr>
                  <w:tcW w:w="854" w:type="dxa"/>
                  <w:tcBorders>
                    <w:top w:val="nil"/>
                    <w:left w:val="nil"/>
                    <w:bottom w:val="single" w:sz="4" w:space="0" w:color="auto"/>
                    <w:right w:val="single" w:sz="4" w:space="0" w:color="auto"/>
                  </w:tcBorders>
                  <w:shd w:val="clear" w:color="auto" w:fill="F2F2F2" w:themeFill="background1" w:themeFillShade="F2"/>
                  <w:noWrap/>
                  <w:hideMark/>
                </w:tcPr>
                <w:p w14:paraId="1CDB359C"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4,00</w:t>
                  </w:r>
                </w:p>
                <w:p w14:paraId="20A45EF7" w14:textId="77777777" w:rsidR="0050022E" w:rsidRPr="00E93042" w:rsidRDefault="0050022E" w:rsidP="00583C72">
                  <w:pPr>
                    <w:spacing w:line="240" w:lineRule="auto"/>
                    <w:jc w:val="center"/>
                    <w:rPr>
                      <w:rFonts w:ascii="Times New Roman" w:eastAsia="Times New Roman" w:hAnsi="Times New Roman"/>
                      <w:b/>
                      <w:bCs/>
                      <w:color w:val="000000"/>
                    </w:rPr>
                  </w:pPr>
                </w:p>
              </w:tc>
              <w:tc>
                <w:tcPr>
                  <w:tcW w:w="854" w:type="dxa"/>
                  <w:tcBorders>
                    <w:top w:val="nil"/>
                    <w:left w:val="nil"/>
                    <w:bottom w:val="single" w:sz="4" w:space="0" w:color="auto"/>
                    <w:right w:val="single" w:sz="4" w:space="0" w:color="auto"/>
                  </w:tcBorders>
                  <w:shd w:val="clear" w:color="auto" w:fill="F2F2F2" w:themeFill="background1" w:themeFillShade="F2"/>
                  <w:noWrap/>
                  <w:hideMark/>
                </w:tcPr>
                <w:p w14:paraId="5CDBF389"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6,00</w:t>
                  </w:r>
                </w:p>
              </w:tc>
              <w:tc>
                <w:tcPr>
                  <w:tcW w:w="966" w:type="dxa"/>
                  <w:tcBorders>
                    <w:top w:val="nil"/>
                    <w:left w:val="nil"/>
                    <w:bottom w:val="single" w:sz="4" w:space="0" w:color="auto"/>
                    <w:right w:val="single" w:sz="4" w:space="0" w:color="auto"/>
                  </w:tcBorders>
                  <w:shd w:val="clear" w:color="auto" w:fill="F2F2F2" w:themeFill="background1" w:themeFillShade="F2"/>
                  <w:noWrap/>
                  <w:hideMark/>
                </w:tcPr>
                <w:p w14:paraId="7D1AA562"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7,00</w:t>
                  </w:r>
                </w:p>
              </w:tc>
              <w:tc>
                <w:tcPr>
                  <w:tcW w:w="1038" w:type="dxa"/>
                  <w:tcBorders>
                    <w:top w:val="nil"/>
                    <w:left w:val="nil"/>
                    <w:bottom w:val="single" w:sz="4" w:space="0" w:color="auto"/>
                    <w:right w:val="single" w:sz="4" w:space="0" w:color="auto"/>
                  </w:tcBorders>
                  <w:shd w:val="clear" w:color="auto" w:fill="F2F2F2" w:themeFill="background1" w:themeFillShade="F2"/>
                  <w:noWrap/>
                  <w:hideMark/>
                </w:tcPr>
                <w:p w14:paraId="02479FE9"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8,00</w:t>
                  </w:r>
                </w:p>
              </w:tc>
              <w:tc>
                <w:tcPr>
                  <w:tcW w:w="1134" w:type="dxa"/>
                  <w:tcBorders>
                    <w:top w:val="nil"/>
                    <w:left w:val="nil"/>
                    <w:bottom w:val="single" w:sz="4" w:space="0" w:color="auto"/>
                    <w:right w:val="single" w:sz="4" w:space="0" w:color="auto"/>
                  </w:tcBorders>
                  <w:shd w:val="clear" w:color="auto" w:fill="F2F2F2" w:themeFill="background1" w:themeFillShade="F2"/>
                  <w:noWrap/>
                  <w:hideMark/>
                </w:tcPr>
                <w:p w14:paraId="10CE5223"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9,00</w:t>
                  </w:r>
                </w:p>
              </w:tc>
              <w:tc>
                <w:tcPr>
                  <w:tcW w:w="1162" w:type="dxa"/>
                  <w:tcBorders>
                    <w:top w:val="nil"/>
                    <w:left w:val="nil"/>
                    <w:bottom w:val="single" w:sz="4" w:space="0" w:color="auto"/>
                    <w:right w:val="single" w:sz="4" w:space="0" w:color="auto"/>
                  </w:tcBorders>
                  <w:shd w:val="clear" w:color="auto" w:fill="F2F2F2" w:themeFill="background1" w:themeFillShade="F2"/>
                  <w:noWrap/>
                  <w:hideMark/>
                </w:tcPr>
                <w:p w14:paraId="5631CDCD" w14:textId="77777777" w:rsidR="0050022E" w:rsidRPr="00E93042" w:rsidRDefault="0050022E" w:rsidP="00583C72">
                  <w:pPr>
                    <w:spacing w:line="240" w:lineRule="auto"/>
                    <w:jc w:val="center"/>
                    <w:rPr>
                      <w:rFonts w:ascii="Times New Roman" w:eastAsia="Times New Roman" w:hAnsi="Times New Roman"/>
                      <w:b/>
                      <w:bCs/>
                      <w:color w:val="000000"/>
                    </w:rPr>
                  </w:pPr>
                  <w:r w:rsidRPr="00E93042">
                    <w:rPr>
                      <w:rFonts w:ascii="Times New Roman" w:eastAsia="Times New Roman" w:hAnsi="Times New Roman"/>
                      <w:b/>
                      <w:bCs/>
                      <w:color w:val="000000"/>
                    </w:rPr>
                    <w:t>10,00</w:t>
                  </w:r>
                </w:p>
              </w:tc>
            </w:tr>
          </w:tbl>
          <w:p w14:paraId="567628F3" w14:textId="77777777" w:rsidR="0050022E" w:rsidRPr="00E93042" w:rsidRDefault="0050022E" w:rsidP="00583C72">
            <w:pPr>
              <w:spacing w:after="120"/>
              <w:jc w:val="both"/>
              <w:rPr>
                <w:rFonts w:ascii="Times New Roman" w:hAnsi="Times New Roman"/>
                <w:i/>
                <w:iCs/>
                <w:color w:val="000000"/>
              </w:rPr>
            </w:pPr>
            <w:r w:rsidRPr="00E93042">
              <w:rPr>
                <w:rFonts w:ascii="Times New Roman" w:hAnsi="Times New Roman"/>
                <w:i/>
                <w:iCs/>
                <w:color w:val="000000"/>
              </w:rPr>
              <w:t>** Zgodnie z Wytycznymi Ministra Finansów dotyczącymi stosowania jednolitych wskaźników makroekonomicznych będących podstawą oszacowania skutków finansowych projektowanych ustaw. Aktualizacja – październik 2023 r.</w:t>
            </w:r>
          </w:p>
          <w:p w14:paraId="0E0DCCA5" w14:textId="77777777" w:rsidR="0050022E" w:rsidRPr="00E93042" w:rsidRDefault="0050022E" w:rsidP="00583C72">
            <w:pPr>
              <w:spacing w:before="120" w:after="120"/>
              <w:jc w:val="both"/>
              <w:rPr>
                <w:rFonts w:ascii="Times New Roman" w:eastAsia="Times New Roman" w:hAnsi="Times New Roman"/>
                <w:bCs/>
              </w:rPr>
            </w:pPr>
            <w:r w:rsidRPr="00E93042">
              <w:rPr>
                <w:rFonts w:ascii="Times New Roman" w:eastAsia="Times New Roman" w:hAnsi="Times New Roman"/>
                <w:bCs/>
              </w:rPr>
              <w:t>Powyższe zestawienie tabelaryczne ma charakter poglądowy, pokazujący zakładany kierunek wzrostu zainteresowania, a jednocześnie gotowości samorządów gminnych oraz inwestorów SBC, do podejmowania się inwestycji mieszkaniowych. Bazuje przede wszystkim na dotychczasowej aktywności samorządów w programie BSK i SBC. Skutki finansowe przyjęte w projekcie bazują już na kwocie zaokrąglonej (która jest sumą maksymalnych wydatków na program SBC i BSK). Przyjęte zaokrąglenia uwzględniają:</w:t>
            </w:r>
          </w:p>
          <w:p w14:paraId="42708BAA" w14:textId="77777777" w:rsidR="0050022E" w:rsidRPr="00E93042" w:rsidRDefault="0050022E" w:rsidP="0050022E">
            <w:pPr>
              <w:numPr>
                <w:ilvl w:val="0"/>
                <w:numId w:val="10"/>
              </w:numPr>
              <w:spacing w:before="120" w:after="120" w:line="240" w:lineRule="auto"/>
              <w:ind w:left="321"/>
              <w:jc w:val="both"/>
              <w:rPr>
                <w:rFonts w:ascii="Times New Roman" w:eastAsia="Times New Roman" w:hAnsi="Times New Roman"/>
                <w:bCs/>
              </w:rPr>
            </w:pPr>
            <w:r w:rsidRPr="00E93042">
              <w:rPr>
                <w:rFonts w:ascii="Times New Roman" w:eastAsia="Times New Roman" w:hAnsi="Times New Roman"/>
                <w:bCs/>
              </w:rPr>
              <w:t xml:space="preserve">równomierny i stabilny wzrost wydatków budżetowych, </w:t>
            </w:r>
          </w:p>
          <w:p w14:paraId="72AADBA9" w14:textId="77777777" w:rsidR="0050022E" w:rsidRPr="00E93042" w:rsidRDefault="0050022E" w:rsidP="0050022E">
            <w:pPr>
              <w:numPr>
                <w:ilvl w:val="0"/>
                <w:numId w:val="10"/>
              </w:numPr>
              <w:spacing w:before="120" w:after="120" w:line="240" w:lineRule="auto"/>
              <w:ind w:left="321"/>
              <w:jc w:val="both"/>
              <w:rPr>
                <w:rFonts w:ascii="Times New Roman" w:eastAsia="Times New Roman" w:hAnsi="Times New Roman"/>
                <w:bCs/>
              </w:rPr>
            </w:pPr>
            <w:r w:rsidRPr="00E93042">
              <w:rPr>
                <w:rFonts w:ascii="Times New Roman" w:eastAsia="Times New Roman" w:hAnsi="Times New Roman"/>
                <w:bCs/>
              </w:rPr>
              <w:t>ekspercki charakter szacunków w zakresie potencjalnego zapotrzebowania w kolejnych latach, a zatem możliwość wystąpienia różnic na etapie wdrażania,</w:t>
            </w:r>
          </w:p>
          <w:p w14:paraId="1FB9D99C" w14:textId="77777777" w:rsidR="0050022E" w:rsidRPr="00E93042" w:rsidRDefault="0050022E" w:rsidP="0050022E">
            <w:pPr>
              <w:numPr>
                <w:ilvl w:val="0"/>
                <w:numId w:val="10"/>
              </w:numPr>
              <w:spacing w:before="120" w:after="120" w:line="240" w:lineRule="auto"/>
              <w:ind w:left="321"/>
              <w:jc w:val="both"/>
              <w:rPr>
                <w:rFonts w:ascii="Times New Roman" w:eastAsia="Times New Roman" w:hAnsi="Times New Roman"/>
                <w:bCs/>
              </w:rPr>
            </w:pPr>
            <w:r w:rsidRPr="00E93042">
              <w:rPr>
                <w:rFonts w:ascii="Times New Roman" w:eastAsia="Times New Roman" w:hAnsi="Times New Roman"/>
                <w:bCs/>
              </w:rPr>
              <w:t>niezależny charakter decyzji podejmowanych przez samorządy odnośnie podejmowanych inwestycji, w tym mieszkaniowych,</w:t>
            </w:r>
          </w:p>
          <w:p w14:paraId="37DDE8D9" w14:textId="77777777" w:rsidR="0050022E" w:rsidRPr="00E93042" w:rsidRDefault="0050022E" w:rsidP="0050022E">
            <w:pPr>
              <w:numPr>
                <w:ilvl w:val="0"/>
                <w:numId w:val="10"/>
              </w:numPr>
              <w:spacing w:before="120" w:after="120" w:line="240" w:lineRule="auto"/>
              <w:ind w:left="321"/>
              <w:jc w:val="both"/>
              <w:rPr>
                <w:rFonts w:ascii="Times New Roman" w:eastAsia="Times New Roman" w:hAnsi="Times New Roman"/>
                <w:bCs/>
              </w:rPr>
            </w:pPr>
            <w:r w:rsidRPr="00E93042">
              <w:rPr>
                <w:rFonts w:ascii="Times New Roman" w:eastAsia="Times New Roman" w:hAnsi="Times New Roman"/>
                <w:bCs/>
              </w:rPr>
              <w:t>tryb udzielania finansowego wsparcia w ramach programu BSK, który zakłada, że wnioski poprawne od strony formalnej, dla których zabrakło finansowania w danym roku, mogą uzyskać wsparcie w kolejnych w pierwszej kolejności.</w:t>
            </w:r>
          </w:p>
        </w:tc>
      </w:tr>
    </w:tbl>
    <w:p w14:paraId="00720227" w14:textId="77777777" w:rsidR="0050022E" w:rsidRPr="00E93042" w:rsidRDefault="0050022E" w:rsidP="0050022E">
      <w:pPr>
        <w:jc w:val="both"/>
        <w:rPr>
          <w:rFonts w:ascii="Times New Roman" w:hAnsi="Times New Roman"/>
        </w:rPr>
      </w:pPr>
    </w:p>
    <w:p w14:paraId="30C93888" w14:textId="77777777" w:rsidR="0050022E" w:rsidRPr="00E93042" w:rsidRDefault="0050022E" w:rsidP="0050022E">
      <w:pPr>
        <w:rPr>
          <w:rFonts w:ascii="Times New Roman" w:hAnsi="Times New Roman"/>
        </w:rPr>
      </w:pPr>
      <w:r w:rsidRPr="00E93042">
        <w:rPr>
          <w:rFonts w:ascii="Times New Roman" w:hAnsi="Times New Roman"/>
        </w:rPr>
        <w:lastRenderedPageBreak/>
        <w:t xml:space="preserve">[8] Czy projekt ustawy podlega procedurze notyfikacyjnej? </w:t>
      </w:r>
    </w:p>
    <w:p w14:paraId="328A933F" w14:textId="77777777" w:rsidR="0050022E" w:rsidRPr="00E93042" w:rsidRDefault="0050022E" w:rsidP="0050022E">
      <w:pPr>
        <w:pStyle w:val="Akapitzlist"/>
        <w:numPr>
          <w:ilvl w:val="0"/>
          <w:numId w:val="4"/>
        </w:numPr>
        <w:spacing w:line="240" w:lineRule="auto"/>
        <w:jc w:val="both"/>
        <w:rPr>
          <w:rFonts w:ascii="Times New Roman" w:hAnsi="Times New Roman"/>
          <w:b/>
          <w:bCs/>
        </w:rPr>
      </w:pPr>
      <w:r w:rsidRPr="00E93042">
        <w:rPr>
          <w:rFonts w:ascii="Times New Roman" w:hAnsi="Times New Roman"/>
          <w:b/>
          <w:bCs/>
        </w:rPr>
        <w:t xml:space="preserve">Nie </w:t>
      </w:r>
    </w:p>
    <w:p w14:paraId="07D61277" w14:textId="77777777" w:rsidR="0050022E" w:rsidRPr="00E93042" w:rsidRDefault="0050022E" w:rsidP="0050022E">
      <w:pPr>
        <w:pStyle w:val="Akapitzlist"/>
        <w:spacing w:line="240" w:lineRule="auto"/>
        <w:jc w:val="both"/>
        <w:rPr>
          <w:rFonts w:ascii="Times New Roman" w:hAnsi="Times New Roman"/>
        </w:rPr>
      </w:pPr>
    </w:p>
    <w:tbl>
      <w:tblPr>
        <w:tblStyle w:val="Tabela-Siatka"/>
        <w:tblW w:w="0" w:type="auto"/>
        <w:tblLook w:val="04A0" w:firstRow="1" w:lastRow="0" w:firstColumn="1" w:lastColumn="0" w:noHBand="0" w:noVBand="1"/>
      </w:tblPr>
      <w:tblGrid>
        <w:gridCol w:w="9062"/>
      </w:tblGrid>
      <w:tr w:rsidR="0050022E" w:rsidRPr="00E93042" w14:paraId="567C64BA" w14:textId="77777777" w:rsidTr="00583C72">
        <w:tc>
          <w:tcPr>
            <w:tcW w:w="9062" w:type="dxa"/>
          </w:tcPr>
          <w:p w14:paraId="3A8F024C" w14:textId="77777777" w:rsidR="0050022E" w:rsidRPr="00E93042" w:rsidRDefault="0050022E" w:rsidP="00583C72">
            <w:pPr>
              <w:autoSpaceDE w:val="0"/>
              <w:autoSpaceDN w:val="0"/>
              <w:adjustRightInd w:val="0"/>
              <w:rPr>
                <w:rFonts w:ascii="Times New Roman" w:hAnsi="Times New Roman"/>
                <w:color w:val="808080"/>
                <w:kern w:val="0"/>
              </w:rPr>
            </w:pPr>
          </w:p>
          <w:p w14:paraId="1B57F7C0" w14:textId="77777777" w:rsidR="0050022E" w:rsidRPr="00E93042" w:rsidRDefault="0050022E" w:rsidP="00583C72">
            <w:pPr>
              <w:autoSpaceDE w:val="0"/>
              <w:autoSpaceDN w:val="0"/>
              <w:adjustRightInd w:val="0"/>
              <w:rPr>
                <w:rFonts w:ascii="Times New Roman" w:hAnsi="Times New Roman"/>
                <w:kern w:val="0"/>
              </w:rPr>
            </w:pPr>
            <w:r w:rsidRPr="00E93042">
              <w:rPr>
                <w:rFonts w:ascii="Times New Roman" w:hAnsi="Times New Roman"/>
                <w:kern w:val="0"/>
              </w:rPr>
              <w:t xml:space="preserve">Projekt nie podlega procedurze notyfikującej wynikającej z prawa Unii Europejskiej. </w:t>
            </w:r>
          </w:p>
          <w:p w14:paraId="18C847EF" w14:textId="77777777" w:rsidR="0050022E" w:rsidRPr="00E93042" w:rsidRDefault="0050022E" w:rsidP="00583C72">
            <w:pPr>
              <w:autoSpaceDE w:val="0"/>
              <w:autoSpaceDN w:val="0"/>
              <w:adjustRightInd w:val="0"/>
              <w:rPr>
                <w:rFonts w:ascii="Times New Roman" w:hAnsi="Times New Roman"/>
                <w:color w:val="808080"/>
                <w:kern w:val="0"/>
              </w:rPr>
            </w:pPr>
          </w:p>
        </w:tc>
      </w:tr>
    </w:tbl>
    <w:p w14:paraId="7D3129A7" w14:textId="77777777" w:rsidR="0050022E" w:rsidRPr="00E93042" w:rsidRDefault="0050022E" w:rsidP="0050022E">
      <w:pPr>
        <w:rPr>
          <w:rFonts w:ascii="Times New Roman" w:hAnsi="Times New Roman"/>
          <w:b/>
        </w:rPr>
      </w:pPr>
      <w:r w:rsidRPr="00E93042">
        <w:rPr>
          <w:rFonts w:ascii="Times New Roman" w:hAnsi="Times New Roman"/>
          <w:b/>
        </w:rPr>
        <w:br w:type="page"/>
      </w:r>
    </w:p>
    <w:p w14:paraId="6217F60F" w14:textId="77777777" w:rsidR="0050022E" w:rsidRPr="00E93042" w:rsidRDefault="0050022E" w:rsidP="0050022E">
      <w:pPr>
        <w:rPr>
          <w:rFonts w:ascii="Times New Roman" w:hAnsi="Times New Roman"/>
          <w:b/>
        </w:rPr>
      </w:pPr>
      <w:r w:rsidRPr="00E93042">
        <w:rPr>
          <w:rFonts w:ascii="Times New Roman" w:hAnsi="Times New Roman"/>
          <w:b/>
        </w:rPr>
        <w:lastRenderedPageBreak/>
        <w:t xml:space="preserve">III. </w:t>
      </w:r>
      <w:bookmarkStart w:id="5" w:name="_Hlk174441212"/>
      <w:r w:rsidRPr="00E93042">
        <w:rPr>
          <w:rFonts w:ascii="Times New Roman" w:hAnsi="Times New Roman"/>
          <w:b/>
        </w:rPr>
        <w:t>Wymogi określone w art. 34 ust. 2a i 2b regulaminu Sejmu</w:t>
      </w:r>
    </w:p>
    <w:p w14:paraId="4C478A2B" w14:textId="77777777" w:rsidR="0050022E" w:rsidRPr="00E93042" w:rsidRDefault="0050022E" w:rsidP="0050022E">
      <w:pPr>
        <w:rPr>
          <w:rFonts w:ascii="Times New Roman" w:hAnsi="Times New Roman"/>
          <w:b/>
        </w:rPr>
      </w:pPr>
      <w:r w:rsidRPr="00E93042">
        <w:rPr>
          <w:rFonts w:ascii="Times New Roman" w:hAnsi="Times New Roman"/>
          <w:b/>
        </w:rPr>
        <w:t xml:space="preserve"> </w:t>
      </w:r>
      <w:bookmarkEnd w:id="5"/>
    </w:p>
    <w:p w14:paraId="6F8C82F6" w14:textId="77777777" w:rsidR="0050022E" w:rsidRPr="00E93042" w:rsidRDefault="0050022E" w:rsidP="0050022E">
      <w:pPr>
        <w:jc w:val="both"/>
        <w:rPr>
          <w:rFonts w:ascii="Times New Roman" w:hAnsi="Times New Roman"/>
        </w:rPr>
      </w:pPr>
      <w:r w:rsidRPr="00E93042">
        <w:rPr>
          <w:rFonts w:ascii="Times New Roman" w:hAnsi="Times New Roman"/>
        </w:rPr>
        <w:t>[9] Czy projekt ustawy zawiera przepisy określające zasady podejmowania, wykonywania lub zakończenia działalności gospodarczej (art. 34 ust. 2a regulaminu Sejmu)?</w:t>
      </w:r>
    </w:p>
    <w:p w14:paraId="31E15338" w14:textId="05CC0E33" w:rsidR="0050022E" w:rsidRPr="00A93838" w:rsidRDefault="0050022E" w:rsidP="00A93838">
      <w:pPr>
        <w:pStyle w:val="Akapitzlist"/>
        <w:numPr>
          <w:ilvl w:val="0"/>
          <w:numId w:val="4"/>
        </w:numPr>
        <w:spacing w:line="240" w:lineRule="auto"/>
        <w:jc w:val="both"/>
        <w:rPr>
          <w:rFonts w:ascii="Times New Roman" w:hAnsi="Times New Roman"/>
          <w:b/>
          <w:bCs/>
        </w:rPr>
      </w:pPr>
      <w:r w:rsidRPr="00E93042">
        <w:rPr>
          <w:rFonts w:ascii="Times New Roman" w:hAnsi="Times New Roman"/>
          <w:b/>
          <w:bCs/>
        </w:rPr>
        <w:t>Nie</w:t>
      </w:r>
    </w:p>
    <w:tbl>
      <w:tblPr>
        <w:tblStyle w:val="Tabela-Siatka"/>
        <w:tblW w:w="0" w:type="auto"/>
        <w:tblLook w:val="04A0" w:firstRow="1" w:lastRow="0" w:firstColumn="1" w:lastColumn="0" w:noHBand="0" w:noVBand="1"/>
      </w:tblPr>
      <w:tblGrid>
        <w:gridCol w:w="9062"/>
      </w:tblGrid>
      <w:tr w:rsidR="0050022E" w:rsidRPr="00E93042" w14:paraId="085EE2B3" w14:textId="77777777" w:rsidTr="00583C72">
        <w:tc>
          <w:tcPr>
            <w:tcW w:w="9062" w:type="dxa"/>
          </w:tcPr>
          <w:p w14:paraId="2C42590C" w14:textId="77777777" w:rsidR="0050022E" w:rsidRPr="00E93042" w:rsidRDefault="0050022E" w:rsidP="00583C72">
            <w:pPr>
              <w:spacing w:line="276" w:lineRule="auto"/>
              <w:jc w:val="both"/>
              <w:rPr>
                <w:rFonts w:ascii="Times New Roman" w:hAnsi="Times New Roman"/>
              </w:rPr>
            </w:pPr>
            <w:r w:rsidRPr="00E93042">
              <w:rPr>
                <w:rFonts w:ascii="Times New Roman" w:hAnsi="Times New Roman"/>
              </w:rPr>
              <w:t>Projekt ustawy nie zawiera przepisów określających zasady podejmowania, wykonywania lub zakończenia działalności gospodarczej.</w:t>
            </w:r>
          </w:p>
        </w:tc>
      </w:tr>
    </w:tbl>
    <w:p w14:paraId="3B2BAF7D" w14:textId="77777777" w:rsidR="0050022E" w:rsidRPr="00E93042" w:rsidRDefault="0050022E" w:rsidP="0050022E">
      <w:pPr>
        <w:spacing w:line="240" w:lineRule="auto"/>
        <w:jc w:val="both"/>
        <w:rPr>
          <w:rFonts w:ascii="Times New Roman" w:hAnsi="Times New Roman"/>
        </w:rPr>
      </w:pPr>
    </w:p>
    <w:p w14:paraId="15F82CAC" w14:textId="77777777" w:rsidR="0050022E" w:rsidRPr="00E93042" w:rsidRDefault="0050022E" w:rsidP="0050022E">
      <w:pPr>
        <w:jc w:val="both"/>
        <w:rPr>
          <w:rFonts w:ascii="Times New Roman" w:hAnsi="Times New Roman"/>
        </w:rPr>
      </w:pPr>
      <w:r w:rsidRPr="00E93042">
        <w:rPr>
          <w:rFonts w:ascii="Times New Roman" w:hAnsi="Times New Roman"/>
        </w:rPr>
        <w:t>[10] Czy wdrożenie projektowanych przepisów spowoduje obciążenia administracyjne mikroprzedsiębiorców, małych i średnich przedsiębiorców (art. 34 ust. 2a regulaminu Sejmu)?</w:t>
      </w:r>
    </w:p>
    <w:p w14:paraId="7D5DCEAB" w14:textId="14391BFB" w:rsidR="0050022E" w:rsidRPr="00A93838" w:rsidRDefault="0050022E" w:rsidP="00A93838">
      <w:pPr>
        <w:pStyle w:val="Akapitzlist"/>
        <w:numPr>
          <w:ilvl w:val="0"/>
          <w:numId w:val="4"/>
        </w:numPr>
        <w:spacing w:line="240" w:lineRule="auto"/>
        <w:jc w:val="both"/>
        <w:rPr>
          <w:rFonts w:ascii="Times New Roman" w:hAnsi="Times New Roman"/>
          <w:b/>
          <w:bCs/>
        </w:rPr>
      </w:pPr>
      <w:r w:rsidRPr="00E93042">
        <w:rPr>
          <w:rFonts w:ascii="Times New Roman" w:hAnsi="Times New Roman"/>
          <w:b/>
          <w:bCs/>
        </w:rPr>
        <w:t>Nie</w:t>
      </w:r>
    </w:p>
    <w:tbl>
      <w:tblPr>
        <w:tblStyle w:val="Tabela-Siatka"/>
        <w:tblW w:w="0" w:type="auto"/>
        <w:tblLook w:val="04A0" w:firstRow="1" w:lastRow="0" w:firstColumn="1" w:lastColumn="0" w:noHBand="0" w:noVBand="1"/>
      </w:tblPr>
      <w:tblGrid>
        <w:gridCol w:w="9062"/>
      </w:tblGrid>
      <w:tr w:rsidR="0050022E" w:rsidRPr="00E93042" w14:paraId="17308DCC" w14:textId="77777777" w:rsidTr="00583C72">
        <w:tc>
          <w:tcPr>
            <w:tcW w:w="9062" w:type="dxa"/>
          </w:tcPr>
          <w:p w14:paraId="12CE80D1" w14:textId="77777777" w:rsidR="0050022E" w:rsidRPr="00E93042" w:rsidRDefault="0050022E" w:rsidP="00583C72">
            <w:pPr>
              <w:spacing w:line="276" w:lineRule="auto"/>
              <w:jc w:val="both"/>
              <w:rPr>
                <w:rFonts w:ascii="Times New Roman" w:hAnsi="Times New Roman"/>
              </w:rPr>
            </w:pPr>
            <w:r w:rsidRPr="00E93042">
              <w:rPr>
                <w:rFonts w:ascii="Times New Roman" w:hAnsi="Times New Roman"/>
              </w:rPr>
              <w:t xml:space="preserve">Wdrożenie projektowanych przepisów nie spowoduje obciążeń administracyjnych mikroprzedsiębiorców oraz małych i średnich przedsiębiorców, gdyż przepisy nie dotyczą wyżej wymienionej grupy podmiotów gospodarczych. </w:t>
            </w:r>
          </w:p>
        </w:tc>
      </w:tr>
    </w:tbl>
    <w:p w14:paraId="3CBC839B" w14:textId="77777777" w:rsidR="0050022E" w:rsidRPr="00E93042" w:rsidRDefault="0050022E" w:rsidP="0050022E">
      <w:pPr>
        <w:spacing w:line="240" w:lineRule="auto"/>
        <w:jc w:val="both"/>
        <w:rPr>
          <w:rFonts w:ascii="Times New Roman" w:hAnsi="Times New Roman"/>
        </w:rPr>
      </w:pPr>
    </w:p>
    <w:p w14:paraId="2711A980" w14:textId="77777777" w:rsidR="0050022E" w:rsidRPr="00E93042" w:rsidRDefault="0050022E" w:rsidP="0050022E">
      <w:pPr>
        <w:jc w:val="both"/>
        <w:rPr>
          <w:rFonts w:ascii="Times New Roman" w:hAnsi="Times New Roman"/>
        </w:rPr>
      </w:pPr>
      <w:r w:rsidRPr="00E93042">
        <w:rPr>
          <w:rFonts w:ascii="Times New Roman" w:hAnsi="Times New Roman"/>
        </w:rPr>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035BE21F" w14:textId="1144F3DD" w:rsidR="0050022E" w:rsidRPr="00A93838" w:rsidRDefault="0050022E" w:rsidP="00A93838">
      <w:pPr>
        <w:pStyle w:val="Akapitzlist"/>
        <w:numPr>
          <w:ilvl w:val="0"/>
          <w:numId w:val="5"/>
        </w:numPr>
        <w:ind w:left="714" w:hanging="357"/>
        <w:jc w:val="both"/>
        <w:rPr>
          <w:rFonts w:ascii="Times New Roman" w:hAnsi="Times New Roman"/>
          <w:b/>
          <w:bCs/>
        </w:rPr>
      </w:pPr>
      <w:r w:rsidRPr="00E93042">
        <w:rPr>
          <w:rFonts w:ascii="Times New Roman" w:hAnsi="Times New Roman"/>
          <w:b/>
          <w:bCs/>
        </w:rPr>
        <w:t xml:space="preserve">Nie </w:t>
      </w:r>
    </w:p>
    <w:tbl>
      <w:tblPr>
        <w:tblStyle w:val="Tabela-Siatka"/>
        <w:tblW w:w="0" w:type="auto"/>
        <w:tblLook w:val="04A0" w:firstRow="1" w:lastRow="0" w:firstColumn="1" w:lastColumn="0" w:noHBand="0" w:noVBand="1"/>
      </w:tblPr>
      <w:tblGrid>
        <w:gridCol w:w="9062"/>
      </w:tblGrid>
      <w:tr w:rsidR="0050022E" w:rsidRPr="00E93042" w14:paraId="178DB07A" w14:textId="77777777" w:rsidTr="00583C72">
        <w:tc>
          <w:tcPr>
            <w:tcW w:w="9062" w:type="dxa"/>
          </w:tcPr>
          <w:p w14:paraId="76FE5EF4" w14:textId="77777777" w:rsidR="0050022E" w:rsidRPr="00E93042" w:rsidRDefault="0050022E" w:rsidP="00583C72">
            <w:pPr>
              <w:spacing w:line="276" w:lineRule="auto"/>
              <w:jc w:val="both"/>
              <w:rPr>
                <w:rFonts w:ascii="Times New Roman" w:hAnsi="Times New Roman"/>
              </w:rPr>
            </w:pPr>
            <w:r w:rsidRPr="00E93042">
              <w:rPr>
                <w:rFonts w:ascii="Times New Roman" w:hAnsi="Times New Roman"/>
              </w:rPr>
              <w:t>Projekt ustawy nie zawiera przepisów regulacyjnych lub określających wymogi dotyczące świadczenia usług transgranicznych w rozumieniu ustawy z dnia 22 grudnia 2015 r. o zasadach uznawania kwalifikacji zawodowych nabytych w państwach członkowskich Unii Europejskiej.</w:t>
            </w:r>
          </w:p>
        </w:tc>
      </w:tr>
    </w:tbl>
    <w:p w14:paraId="31B7F949" w14:textId="77777777" w:rsidR="0050022E" w:rsidRPr="00E93042" w:rsidRDefault="0050022E" w:rsidP="0050022E">
      <w:pPr>
        <w:rPr>
          <w:rFonts w:ascii="Times New Roman" w:hAnsi="Times New Roman"/>
        </w:rPr>
      </w:pPr>
    </w:p>
    <w:p w14:paraId="13FF607F" w14:textId="77777777" w:rsidR="0050022E" w:rsidRPr="00E93042" w:rsidRDefault="0050022E">
      <w:pPr>
        <w:pStyle w:val="PKTpunkt"/>
        <w:ind w:left="720" w:firstLine="0"/>
        <w:rPr>
          <w:rFonts w:ascii="Times New Roman" w:hAnsi="Times New Roman" w:cs="Times New Roman"/>
          <w:sz w:val="22"/>
          <w:szCs w:val="22"/>
        </w:rPr>
      </w:pPr>
    </w:p>
    <w:sectPr w:rsidR="0050022E" w:rsidRPr="00E930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FE96E" w14:textId="77777777" w:rsidR="00CA5631" w:rsidRDefault="00CA5631" w:rsidP="005956CA">
      <w:pPr>
        <w:spacing w:after="0" w:line="240" w:lineRule="auto"/>
      </w:pPr>
      <w:r>
        <w:separator/>
      </w:r>
    </w:p>
  </w:endnote>
  <w:endnote w:type="continuationSeparator" w:id="0">
    <w:p w14:paraId="424D1090" w14:textId="77777777" w:rsidR="00CA5631" w:rsidRDefault="00CA5631" w:rsidP="0059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57C39" w14:textId="77777777" w:rsidR="00CA5631" w:rsidRDefault="00CA5631" w:rsidP="005956CA">
      <w:pPr>
        <w:spacing w:after="0" w:line="240" w:lineRule="auto"/>
      </w:pPr>
      <w:r>
        <w:separator/>
      </w:r>
    </w:p>
  </w:footnote>
  <w:footnote w:type="continuationSeparator" w:id="0">
    <w:p w14:paraId="6B87956A" w14:textId="77777777" w:rsidR="00CA5631" w:rsidRDefault="00CA5631" w:rsidP="005956CA">
      <w:pPr>
        <w:spacing w:after="0" w:line="240" w:lineRule="auto"/>
      </w:pPr>
      <w:r>
        <w:continuationSeparator/>
      </w:r>
    </w:p>
  </w:footnote>
  <w:footnote w:id="1">
    <w:p w14:paraId="04289BBF" w14:textId="41222FE1" w:rsidR="00AB1371" w:rsidRPr="008E205D" w:rsidRDefault="00AB1371">
      <w:pPr>
        <w:pStyle w:val="Tekstprzypisudolnego"/>
        <w:rPr>
          <w:rFonts w:ascii="Times New Roman" w:hAnsi="Times New Roman"/>
        </w:rPr>
      </w:pPr>
      <w:r w:rsidRPr="008E205D">
        <w:rPr>
          <w:rStyle w:val="Odwoanieprzypisudolnego"/>
          <w:rFonts w:ascii="Times New Roman" w:hAnsi="Times New Roman"/>
        </w:rPr>
        <w:footnoteRef/>
      </w:r>
      <w:r w:rsidRPr="008E205D">
        <w:rPr>
          <w:rFonts w:ascii="Times New Roman" w:hAnsi="Times New Roman"/>
        </w:rPr>
        <w:t xml:space="preserve"> Niniejszą ustawą zmienia się ustawy: ustawę z dnia 10 września 2015 r. o zmianie ustawy o niektórych formach popierania budownictwa mieszkaniowego oraz niektórych innych ustaw, ustawę z dnia 22 marca 2018 r. o zmianie ustawy o finansowym wsparciu tworzenia lokali socjalnych, mieszkań chronionych, noclegowni i domów dla bezdomnych oraz niektórych innych ustaw</w:t>
      </w:r>
      <w:r w:rsidR="008E205D">
        <w:rPr>
          <w:rFonts w:ascii="Times New Roman" w:hAnsi="Times New Roman"/>
        </w:rPr>
        <w:t xml:space="preserve"> oraz </w:t>
      </w:r>
      <w:r w:rsidR="008E205D" w:rsidRPr="008E205D">
        <w:rPr>
          <w:rFonts w:ascii="Times New Roman" w:hAnsi="Times New Roman"/>
        </w:rPr>
        <w:t>ustawę z dnia 26 maja 2023 r. o pomocy państwa w oszczędzaniu na cele mieszkaniowe.</w:t>
      </w:r>
    </w:p>
  </w:footnote>
  <w:footnote w:id="2">
    <w:p w14:paraId="39C89B28" w14:textId="77777777" w:rsidR="0050022E" w:rsidRPr="0061402D" w:rsidRDefault="0050022E" w:rsidP="0050022E">
      <w:pPr>
        <w:pStyle w:val="Tekstprzypisudolnego"/>
        <w:jc w:val="both"/>
        <w:rPr>
          <w:rFonts w:ascii="Arial" w:hAnsi="Arial" w:cs="Arial"/>
          <w:color w:val="000000"/>
          <w:spacing w:val="-2"/>
          <w:sz w:val="16"/>
          <w:szCs w:val="16"/>
        </w:rPr>
      </w:pPr>
      <w:r w:rsidRPr="0061402D">
        <w:rPr>
          <w:rStyle w:val="Odwoanieprzypisudolnego"/>
          <w:rFonts w:ascii="Arial" w:hAnsi="Arial" w:cs="Arial"/>
          <w:sz w:val="16"/>
          <w:szCs w:val="16"/>
        </w:rPr>
        <w:footnoteRef/>
      </w:r>
      <w:r w:rsidRPr="0061402D">
        <w:rPr>
          <w:rFonts w:ascii="Arial" w:hAnsi="Arial" w:cs="Arial"/>
          <w:sz w:val="16"/>
          <w:szCs w:val="16"/>
        </w:rPr>
        <w:t xml:space="preserve"> </w:t>
      </w:r>
      <w:r w:rsidRPr="0061402D">
        <w:rPr>
          <w:rFonts w:ascii="Arial" w:hAnsi="Arial" w:cs="Arial"/>
          <w:color w:val="000000"/>
          <w:spacing w:val="-2"/>
          <w:sz w:val="16"/>
          <w:szCs w:val="16"/>
        </w:rPr>
        <w:t>Program BSK – rządowy program wsparcia budownictwa socjalnego i komunalnego, realizowany na podstawie przepisów ustawy z dnia 8 grudnia 2006 r. o finansowym wsparciu niektórych przedsięwzięć mieszkaniowych (Dz. U. z 2024 r. poz. 304), w ramach którego jest udzielane z bezzwrotne finansowe wsparcie z budżetu państwa (poprzez Fundusz Dopłat) na rozwój budownictwa zaspokajającego potrzeby mieszkaniowe osób o niższych dochodach (przede wszystkim budownictwa gminnego).</w:t>
      </w:r>
    </w:p>
  </w:footnote>
  <w:footnote w:id="3">
    <w:p w14:paraId="5FF53288" w14:textId="77777777" w:rsidR="0050022E" w:rsidRPr="0061402D" w:rsidRDefault="0050022E" w:rsidP="0050022E">
      <w:pPr>
        <w:pStyle w:val="Tekstprzypisudolnego"/>
        <w:jc w:val="both"/>
        <w:rPr>
          <w:rFonts w:ascii="Arial" w:hAnsi="Arial" w:cs="Arial"/>
          <w:color w:val="000000"/>
          <w:spacing w:val="-2"/>
          <w:sz w:val="16"/>
          <w:szCs w:val="16"/>
        </w:rPr>
      </w:pPr>
      <w:r w:rsidRPr="0061402D">
        <w:rPr>
          <w:rStyle w:val="Odwoanieprzypisudolnego"/>
          <w:rFonts w:ascii="Arial" w:hAnsi="Arial" w:cs="Arial"/>
          <w:sz w:val="16"/>
          <w:szCs w:val="16"/>
        </w:rPr>
        <w:footnoteRef/>
      </w:r>
      <w:r w:rsidRPr="0061402D">
        <w:rPr>
          <w:rFonts w:ascii="Arial" w:hAnsi="Arial" w:cs="Arial"/>
          <w:sz w:val="16"/>
          <w:szCs w:val="16"/>
        </w:rPr>
        <w:t xml:space="preserve"> </w:t>
      </w:r>
      <w:r w:rsidRPr="0061402D">
        <w:rPr>
          <w:rFonts w:ascii="Arial" w:hAnsi="Arial" w:cs="Arial"/>
          <w:color w:val="000000"/>
          <w:spacing w:val="-2"/>
          <w:sz w:val="16"/>
          <w:szCs w:val="16"/>
        </w:rPr>
        <w:t>Program SBC – rządowy program preferencyjnych kredytów udzielanych ze środków własnych Banku Gospodarstwa Krajowego towarzystwom budownictwa społecznego, społecznym inicjatywom mieszkaniowym, spółdzielniom mieszkaniowym oraz spółkom gminnym, na podstawie przepisów ustawy z dnia 26 października 1995 r. o społecznych formach rozwoju mieszkalnictwa (Dz. U. z 2024 r. poz. 1440), z dopłatą do preferencyjnego oprocentowania ze środków budżetowych (poprzez Fundusz Dopłat).</w:t>
      </w:r>
    </w:p>
    <w:p w14:paraId="5CA085EA" w14:textId="77777777" w:rsidR="0050022E" w:rsidRDefault="0050022E" w:rsidP="0050022E">
      <w:pPr>
        <w:pStyle w:val="Tekstprzypisudolnego"/>
      </w:pPr>
    </w:p>
  </w:footnote>
  <w:footnote w:id="4">
    <w:p w14:paraId="153E3B2D" w14:textId="77777777" w:rsidR="0050022E" w:rsidRPr="0061402D" w:rsidRDefault="0050022E" w:rsidP="0050022E">
      <w:pPr>
        <w:pStyle w:val="Tekstprzypisudolnego"/>
        <w:rPr>
          <w:rFonts w:ascii="Arial" w:hAnsi="Arial" w:cs="Arial"/>
          <w:sz w:val="16"/>
          <w:szCs w:val="16"/>
        </w:rPr>
      </w:pPr>
      <w:r w:rsidRPr="0061402D">
        <w:rPr>
          <w:rStyle w:val="Odwoanieprzypisudolnego"/>
          <w:rFonts w:ascii="Arial" w:hAnsi="Arial" w:cs="Arial"/>
          <w:sz w:val="16"/>
          <w:szCs w:val="16"/>
        </w:rPr>
        <w:footnoteRef/>
      </w:r>
      <w:r w:rsidRPr="0061402D">
        <w:rPr>
          <w:rFonts w:ascii="Arial" w:hAnsi="Arial" w:cs="Arial"/>
          <w:sz w:val="16"/>
          <w:szCs w:val="16"/>
        </w:rPr>
        <w:t xml:space="preserve"> o której mowa w art. 15 ust. 2 pkt ustawy dnia 26 października 1995 r. o społecznych formach rozwoju mieszkalnictwa.</w:t>
      </w:r>
    </w:p>
  </w:footnote>
  <w:footnote w:id="5">
    <w:p w14:paraId="0F70E6AC" w14:textId="77777777" w:rsidR="0050022E" w:rsidRPr="00FA7EB2" w:rsidRDefault="0050022E" w:rsidP="0050022E">
      <w:pPr>
        <w:pStyle w:val="Tekstprzypisudolnego"/>
        <w:rPr>
          <w:rFonts w:ascii="Times New Roman" w:hAnsi="Times New Roman"/>
          <w:sz w:val="18"/>
          <w:szCs w:val="18"/>
        </w:rPr>
      </w:pPr>
      <w:r w:rsidRPr="0061402D">
        <w:rPr>
          <w:rStyle w:val="Odwoanieprzypisudolnego"/>
          <w:rFonts w:ascii="Arial" w:hAnsi="Arial" w:cs="Arial"/>
          <w:sz w:val="16"/>
          <w:szCs w:val="16"/>
        </w:rPr>
        <w:footnoteRef/>
      </w:r>
      <w:r w:rsidRPr="0061402D">
        <w:rPr>
          <w:rFonts w:ascii="Arial" w:hAnsi="Arial" w:cs="Arial"/>
          <w:sz w:val="16"/>
          <w:szCs w:val="16"/>
        </w:rPr>
        <w:t xml:space="preserve"> o której mowa w art. 45 ust. 1 pkt 2 i 3 ustawy z dnia 26 maja 2023 r. o pomocy państwa w oszczędzaniu na cele mieszkaniowe.</w:t>
      </w:r>
      <w:r w:rsidRPr="00FA7EB2">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6114"/>
    <w:multiLevelType w:val="hybridMultilevel"/>
    <w:tmpl w:val="5EA2E42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363937"/>
    <w:multiLevelType w:val="hybridMultilevel"/>
    <w:tmpl w:val="6EC28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006B1"/>
    <w:multiLevelType w:val="hybridMultilevel"/>
    <w:tmpl w:val="E2CE8038"/>
    <w:lvl w:ilvl="0" w:tplc="45DA31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02266"/>
    <w:multiLevelType w:val="hybridMultilevel"/>
    <w:tmpl w:val="A70E31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70063F3"/>
    <w:multiLevelType w:val="hybridMultilevel"/>
    <w:tmpl w:val="79C0404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110C77"/>
    <w:multiLevelType w:val="hybridMultilevel"/>
    <w:tmpl w:val="76006BC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F1D32EF"/>
    <w:multiLevelType w:val="hybridMultilevel"/>
    <w:tmpl w:val="5FE2FE02"/>
    <w:lvl w:ilvl="0" w:tplc="04150001">
      <w:start w:val="1"/>
      <w:numFmt w:val="bullet"/>
      <w:lvlText w:val=""/>
      <w:lvlJc w:val="left"/>
      <w:pPr>
        <w:ind w:left="463" w:hanging="360"/>
      </w:pPr>
      <w:rPr>
        <w:rFonts w:ascii="Symbol" w:hAnsi="Symbol" w:hint="default"/>
      </w:rPr>
    </w:lvl>
    <w:lvl w:ilvl="1" w:tplc="04150003" w:tentative="1">
      <w:start w:val="1"/>
      <w:numFmt w:val="bullet"/>
      <w:lvlText w:val="o"/>
      <w:lvlJc w:val="left"/>
      <w:pPr>
        <w:ind w:left="1183" w:hanging="360"/>
      </w:pPr>
      <w:rPr>
        <w:rFonts w:ascii="Courier New" w:hAnsi="Courier New" w:hint="default"/>
      </w:rPr>
    </w:lvl>
    <w:lvl w:ilvl="2" w:tplc="04150005" w:tentative="1">
      <w:start w:val="1"/>
      <w:numFmt w:val="bullet"/>
      <w:lvlText w:val=""/>
      <w:lvlJc w:val="left"/>
      <w:pPr>
        <w:ind w:left="1903" w:hanging="360"/>
      </w:pPr>
      <w:rPr>
        <w:rFonts w:ascii="Wingdings" w:hAnsi="Wingdings" w:hint="default"/>
      </w:rPr>
    </w:lvl>
    <w:lvl w:ilvl="3" w:tplc="04150001" w:tentative="1">
      <w:start w:val="1"/>
      <w:numFmt w:val="bullet"/>
      <w:lvlText w:val=""/>
      <w:lvlJc w:val="left"/>
      <w:pPr>
        <w:ind w:left="2623" w:hanging="360"/>
      </w:pPr>
      <w:rPr>
        <w:rFonts w:ascii="Symbol" w:hAnsi="Symbol" w:hint="default"/>
      </w:rPr>
    </w:lvl>
    <w:lvl w:ilvl="4" w:tplc="04150003" w:tentative="1">
      <w:start w:val="1"/>
      <w:numFmt w:val="bullet"/>
      <w:lvlText w:val="o"/>
      <w:lvlJc w:val="left"/>
      <w:pPr>
        <w:ind w:left="3343" w:hanging="360"/>
      </w:pPr>
      <w:rPr>
        <w:rFonts w:ascii="Courier New" w:hAnsi="Courier New" w:hint="default"/>
      </w:rPr>
    </w:lvl>
    <w:lvl w:ilvl="5" w:tplc="04150005" w:tentative="1">
      <w:start w:val="1"/>
      <w:numFmt w:val="bullet"/>
      <w:lvlText w:val=""/>
      <w:lvlJc w:val="left"/>
      <w:pPr>
        <w:ind w:left="4063" w:hanging="360"/>
      </w:pPr>
      <w:rPr>
        <w:rFonts w:ascii="Wingdings" w:hAnsi="Wingdings" w:hint="default"/>
      </w:rPr>
    </w:lvl>
    <w:lvl w:ilvl="6" w:tplc="04150001" w:tentative="1">
      <w:start w:val="1"/>
      <w:numFmt w:val="bullet"/>
      <w:lvlText w:val=""/>
      <w:lvlJc w:val="left"/>
      <w:pPr>
        <w:ind w:left="4783" w:hanging="360"/>
      </w:pPr>
      <w:rPr>
        <w:rFonts w:ascii="Symbol" w:hAnsi="Symbol" w:hint="default"/>
      </w:rPr>
    </w:lvl>
    <w:lvl w:ilvl="7" w:tplc="04150003" w:tentative="1">
      <w:start w:val="1"/>
      <w:numFmt w:val="bullet"/>
      <w:lvlText w:val="o"/>
      <w:lvlJc w:val="left"/>
      <w:pPr>
        <w:ind w:left="5503" w:hanging="360"/>
      </w:pPr>
      <w:rPr>
        <w:rFonts w:ascii="Courier New" w:hAnsi="Courier New" w:hint="default"/>
      </w:rPr>
    </w:lvl>
    <w:lvl w:ilvl="8" w:tplc="04150005" w:tentative="1">
      <w:start w:val="1"/>
      <w:numFmt w:val="bullet"/>
      <w:lvlText w:val=""/>
      <w:lvlJc w:val="left"/>
      <w:pPr>
        <w:ind w:left="6223" w:hanging="360"/>
      </w:pPr>
      <w:rPr>
        <w:rFonts w:ascii="Wingdings" w:hAnsi="Wingdings" w:hint="default"/>
      </w:rPr>
    </w:lvl>
  </w:abstractNum>
  <w:abstractNum w:abstractNumId="7" w15:restartNumberingAfterBreak="0">
    <w:nsid w:val="354D186A"/>
    <w:multiLevelType w:val="hybridMultilevel"/>
    <w:tmpl w:val="8D78DDCC"/>
    <w:lvl w:ilvl="0" w:tplc="C79E83AC">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63740E"/>
    <w:multiLevelType w:val="hybridMultilevel"/>
    <w:tmpl w:val="603EBACE"/>
    <w:lvl w:ilvl="0" w:tplc="0415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F233A4"/>
    <w:multiLevelType w:val="hybridMultilevel"/>
    <w:tmpl w:val="BF304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DC6D55"/>
    <w:multiLevelType w:val="hybridMultilevel"/>
    <w:tmpl w:val="5442C694"/>
    <w:lvl w:ilvl="0" w:tplc="04150001">
      <w:start w:val="1"/>
      <w:numFmt w:val="bullet"/>
      <w:lvlText w:val=""/>
      <w:lvlJc w:val="left"/>
      <w:pPr>
        <w:ind w:left="463" w:hanging="360"/>
      </w:pPr>
      <w:rPr>
        <w:rFonts w:ascii="Symbol" w:hAnsi="Symbol" w:hint="default"/>
      </w:rPr>
    </w:lvl>
    <w:lvl w:ilvl="1" w:tplc="04150003" w:tentative="1">
      <w:start w:val="1"/>
      <w:numFmt w:val="bullet"/>
      <w:lvlText w:val="o"/>
      <w:lvlJc w:val="left"/>
      <w:pPr>
        <w:ind w:left="1183" w:hanging="360"/>
      </w:pPr>
      <w:rPr>
        <w:rFonts w:ascii="Courier New" w:hAnsi="Courier New" w:hint="default"/>
      </w:rPr>
    </w:lvl>
    <w:lvl w:ilvl="2" w:tplc="04150005" w:tentative="1">
      <w:start w:val="1"/>
      <w:numFmt w:val="bullet"/>
      <w:lvlText w:val=""/>
      <w:lvlJc w:val="left"/>
      <w:pPr>
        <w:ind w:left="1903" w:hanging="360"/>
      </w:pPr>
      <w:rPr>
        <w:rFonts w:ascii="Wingdings" w:hAnsi="Wingdings" w:hint="default"/>
      </w:rPr>
    </w:lvl>
    <w:lvl w:ilvl="3" w:tplc="04150001" w:tentative="1">
      <w:start w:val="1"/>
      <w:numFmt w:val="bullet"/>
      <w:lvlText w:val=""/>
      <w:lvlJc w:val="left"/>
      <w:pPr>
        <w:ind w:left="2623" w:hanging="360"/>
      </w:pPr>
      <w:rPr>
        <w:rFonts w:ascii="Symbol" w:hAnsi="Symbol" w:hint="default"/>
      </w:rPr>
    </w:lvl>
    <w:lvl w:ilvl="4" w:tplc="04150003" w:tentative="1">
      <w:start w:val="1"/>
      <w:numFmt w:val="bullet"/>
      <w:lvlText w:val="o"/>
      <w:lvlJc w:val="left"/>
      <w:pPr>
        <w:ind w:left="3343" w:hanging="360"/>
      </w:pPr>
      <w:rPr>
        <w:rFonts w:ascii="Courier New" w:hAnsi="Courier New" w:hint="default"/>
      </w:rPr>
    </w:lvl>
    <w:lvl w:ilvl="5" w:tplc="04150005" w:tentative="1">
      <w:start w:val="1"/>
      <w:numFmt w:val="bullet"/>
      <w:lvlText w:val=""/>
      <w:lvlJc w:val="left"/>
      <w:pPr>
        <w:ind w:left="4063" w:hanging="360"/>
      </w:pPr>
      <w:rPr>
        <w:rFonts w:ascii="Wingdings" w:hAnsi="Wingdings" w:hint="default"/>
      </w:rPr>
    </w:lvl>
    <w:lvl w:ilvl="6" w:tplc="04150001" w:tentative="1">
      <w:start w:val="1"/>
      <w:numFmt w:val="bullet"/>
      <w:lvlText w:val=""/>
      <w:lvlJc w:val="left"/>
      <w:pPr>
        <w:ind w:left="4783" w:hanging="360"/>
      </w:pPr>
      <w:rPr>
        <w:rFonts w:ascii="Symbol" w:hAnsi="Symbol" w:hint="default"/>
      </w:rPr>
    </w:lvl>
    <w:lvl w:ilvl="7" w:tplc="04150003" w:tentative="1">
      <w:start w:val="1"/>
      <w:numFmt w:val="bullet"/>
      <w:lvlText w:val="o"/>
      <w:lvlJc w:val="left"/>
      <w:pPr>
        <w:ind w:left="5503" w:hanging="360"/>
      </w:pPr>
      <w:rPr>
        <w:rFonts w:ascii="Courier New" w:hAnsi="Courier New" w:hint="default"/>
      </w:rPr>
    </w:lvl>
    <w:lvl w:ilvl="8" w:tplc="04150005" w:tentative="1">
      <w:start w:val="1"/>
      <w:numFmt w:val="bullet"/>
      <w:lvlText w:val=""/>
      <w:lvlJc w:val="left"/>
      <w:pPr>
        <w:ind w:left="6223" w:hanging="360"/>
      </w:pPr>
      <w:rPr>
        <w:rFonts w:ascii="Wingdings" w:hAnsi="Wingdings" w:hint="default"/>
      </w:rPr>
    </w:lvl>
  </w:abstractNum>
  <w:abstractNum w:abstractNumId="11" w15:restartNumberingAfterBreak="0">
    <w:nsid w:val="5D832EB2"/>
    <w:multiLevelType w:val="hybridMultilevel"/>
    <w:tmpl w:val="1E20F1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B5A1898"/>
    <w:multiLevelType w:val="hybridMultilevel"/>
    <w:tmpl w:val="87C62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B6377C0"/>
    <w:multiLevelType w:val="hybridMultilevel"/>
    <w:tmpl w:val="929E4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44746E"/>
    <w:multiLevelType w:val="hybridMultilevel"/>
    <w:tmpl w:val="0E3A31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2842839">
    <w:abstractNumId w:val="0"/>
  </w:num>
  <w:num w:numId="2" w16cid:durableId="878010538">
    <w:abstractNumId w:val="1"/>
  </w:num>
  <w:num w:numId="3" w16cid:durableId="1372419580">
    <w:abstractNumId w:val="7"/>
  </w:num>
  <w:num w:numId="4" w16cid:durableId="973487502">
    <w:abstractNumId w:val="14"/>
  </w:num>
  <w:num w:numId="5" w16cid:durableId="1496339664">
    <w:abstractNumId w:val="11"/>
  </w:num>
  <w:num w:numId="6" w16cid:durableId="1586524826">
    <w:abstractNumId w:val="13"/>
  </w:num>
  <w:num w:numId="7" w16cid:durableId="1590388246">
    <w:abstractNumId w:val="8"/>
  </w:num>
  <w:num w:numId="8" w16cid:durableId="579408201">
    <w:abstractNumId w:val="9"/>
  </w:num>
  <w:num w:numId="9" w16cid:durableId="1170556609">
    <w:abstractNumId w:val="2"/>
  </w:num>
  <w:num w:numId="10" w16cid:durableId="905995315">
    <w:abstractNumId w:val="4"/>
  </w:num>
  <w:num w:numId="11" w16cid:durableId="899436149">
    <w:abstractNumId w:val="5"/>
  </w:num>
  <w:num w:numId="12" w16cid:durableId="2017343995">
    <w:abstractNumId w:val="3"/>
  </w:num>
  <w:num w:numId="13" w16cid:durableId="1366979984">
    <w:abstractNumId w:val="12"/>
  </w:num>
  <w:num w:numId="14" w16cid:durableId="1178081001">
    <w:abstractNumId w:val="6"/>
  </w:num>
  <w:num w:numId="15" w16cid:durableId="6763440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CA"/>
    <w:rsid w:val="00167872"/>
    <w:rsid w:val="00230D69"/>
    <w:rsid w:val="0023271F"/>
    <w:rsid w:val="00235029"/>
    <w:rsid w:val="00274CF5"/>
    <w:rsid w:val="002B64A2"/>
    <w:rsid w:val="002D5E59"/>
    <w:rsid w:val="003B5241"/>
    <w:rsid w:val="00447E55"/>
    <w:rsid w:val="004B0846"/>
    <w:rsid w:val="0050022E"/>
    <w:rsid w:val="00541E32"/>
    <w:rsid w:val="005956CA"/>
    <w:rsid w:val="005F1A9D"/>
    <w:rsid w:val="00654510"/>
    <w:rsid w:val="00680B5E"/>
    <w:rsid w:val="006930AB"/>
    <w:rsid w:val="006A0761"/>
    <w:rsid w:val="006D0EE4"/>
    <w:rsid w:val="006F00BA"/>
    <w:rsid w:val="00763FE0"/>
    <w:rsid w:val="007D5981"/>
    <w:rsid w:val="008267C8"/>
    <w:rsid w:val="008440C5"/>
    <w:rsid w:val="00845AF3"/>
    <w:rsid w:val="00863057"/>
    <w:rsid w:val="008E205D"/>
    <w:rsid w:val="0097270E"/>
    <w:rsid w:val="00996C8D"/>
    <w:rsid w:val="00A93838"/>
    <w:rsid w:val="00AB1371"/>
    <w:rsid w:val="00B00F62"/>
    <w:rsid w:val="00C0037D"/>
    <w:rsid w:val="00C505A2"/>
    <w:rsid w:val="00C70702"/>
    <w:rsid w:val="00CA5631"/>
    <w:rsid w:val="00CA6872"/>
    <w:rsid w:val="00CB60F4"/>
    <w:rsid w:val="00DE19DA"/>
    <w:rsid w:val="00E1027D"/>
    <w:rsid w:val="00E93042"/>
    <w:rsid w:val="00E95493"/>
    <w:rsid w:val="00EF1D78"/>
    <w:rsid w:val="00F34B29"/>
    <w:rsid w:val="00FC2895"/>
    <w:rsid w:val="00FE2D03"/>
    <w:rsid w:val="00FE5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7BFE"/>
  <w15:chartTrackingRefBased/>
  <w15:docId w15:val="{26BD5A06-4AEB-490E-AAA7-B7A39E44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0846"/>
    <w:pPr>
      <w:spacing w:line="259" w:lineRule="auto"/>
    </w:pPr>
    <w:rPr>
      <w:rFonts w:ascii="Aptos" w:eastAsia="Aptos" w:hAnsi="Aptos" w:cs="Times New Roman"/>
      <w:sz w:val="22"/>
      <w:szCs w:val="22"/>
      <w:lang w:eastAsia="pl-PL"/>
      <w14:ligatures w14:val="none"/>
    </w:rPr>
  </w:style>
  <w:style w:type="paragraph" w:styleId="Nagwek1">
    <w:name w:val="heading 1"/>
    <w:basedOn w:val="Normalny"/>
    <w:next w:val="Normalny"/>
    <w:link w:val="Nagwek1Znak"/>
    <w:uiPriority w:val="9"/>
    <w:qFormat/>
    <w:rsid w:val="00595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95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956C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956C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956C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956C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956C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956C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956C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956C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956C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956C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956C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956C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956C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956C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956C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956CA"/>
    <w:rPr>
      <w:rFonts w:eastAsiaTheme="majorEastAsia" w:cstheme="majorBidi"/>
      <w:color w:val="272727" w:themeColor="text1" w:themeTint="D8"/>
    </w:rPr>
  </w:style>
  <w:style w:type="paragraph" w:styleId="Tytu">
    <w:name w:val="Title"/>
    <w:basedOn w:val="Normalny"/>
    <w:next w:val="Normalny"/>
    <w:link w:val="TytuZnak"/>
    <w:uiPriority w:val="10"/>
    <w:qFormat/>
    <w:rsid w:val="00595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956C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956C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956C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956CA"/>
    <w:pPr>
      <w:spacing w:before="160"/>
      <w:jc w:val="center"/>
    </w:pPr>
    <w:rPr>
      <w:i/>
      <w:iCs/>
      <w:color w:val="404040" w:themeColor="text1" w:themeTint="BF"/>
    </w:rPr>
  </w:style>
  <w:style w:type="character" w:customStyle="1" w:styleId="CytatZnak">
    <w:name w:val="Cytat Znak"/>
    <w:basedOn w:val="Domylnaczcionkaakapitu"/>
    <w:link w:val="Cytat"/>
    <w:uiPriority w:val="29"/>
    <w:rsid w:val="005956CA"/>
    <w:rPr>
      <w:i/>
      <w:iCs/>
      <w:color w:val="404040" w:themeColor="text1" w:themeTint="BF"/>
    </w:rPr>
  </w:style>
  <w:style w:type="paragraph" w:styleId="Akapitzlist">
    <w:name w:val="List Paragraph"/>
    <w:aliases w:val="Wypunktowanie,Dot pt,F5 List Paragraph,List Paragraph1,Recommendation,List Paragraph11,List Paragraph,Numerowanie,Kolorowa lista — akcent 11,Listaszerű bekezdés1,List Paragraph à moi,Akapit z listą1,Akapit z listą11,Numbered Para 1,2"/>
    <w:basedOn w:val="Normalny"/>
    <w:link w:val="AkapitzlistZnak"/>
    <w:qFormat/>
    <w:rsid w:val="005956CA"/>
    <w:pPr>
      <w:ind w:left="720"/>
      <w:contextualSpacing/>
    </w:pPr>
  </w:style>
  <w:style w:type="character" w:styleId="Wyrnienieintensywne">
    <w:name w:val="Intense Emphasis"/>
    <w:basedOn w:val="Domylnaczcionkaakapitu"/>
    <w:uiPriority w:val="21"/>
    <w:qFormat/>
    <w:rsid w:val="005956CA"/>
    <w:rPr>
      <w:i/>
      <w:iCs/>
      <w:color w:val="0F4761" w:themeColor="accent1" w:themeShade="BF"/>
    </w:rPr>
  </w:style>
  <w:style w:type="paragraph" w:styleId="Cytatintensywny">
    <w:name w:val="Intense Quote"/>
    <w:basedOn w:val="Normalny"/>
    <w:next w:val="Normalny"/>
    <w:link w:val="CytatintensywnyZnak"/>
    <w:uiPriority w:val="30"/>
    <w:qFormat/>
    <w:rsid w:val="00595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956CA"/>
    <w:rPr>
      <w:i/>
      <w:iCs/>
      <w:color w:val="0F4761" w:themeColor="accent1" w:themeShade="BF"/>
    </w:rPr>
  </w:style>
  <w:style w:type="character" w:styleId="Odwoanieintensywne">
    <w:name w:val="Intense Reference"/>
    <w:basedOn w:val="Domylnaczcionkaakapitu"/>
    <w:uiPriority w:val="32"/>
    <w:qFormat/>
    <w:rsid w:val="005956CA"/>
    <w:rPr>
      <w:b/>
      <w:bCs/>
      <w:smallCaps/>
      <w:color w:val="0F4761" w:themeColor="accent1" w:themeShade="BF"/>
      <w:spacing w:val="5"/>
    </w:rPr>
  </w:style>
  <w:style w:type="paragraph" w:customStyle="1" w:styleId="ARTartustawynprozporzdzenia">
    <w:name w:val="ART(§) – art. ustawy (§ np. rozporządzenia)"/>
    <w:uiPriority w:val="11"/>
    <w:qFormat/>
    <w:rsid w:val="005956C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PKTpunkt">
    <w:name w:val="PKT – punkt"/>
    <w:uiPriority w:val="13"/>
    <w:qFormat/>
    <w:rsid w:val="005956C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1"/>
    <w:qFormat/>
    <w:rsid w:val="005956CA"/>
    <w:rPr>
      <w:b/>
    </w:rPr>
  </w:style>
  <w:style w:type="paragraph" w:customStyle="1" w:styleId="DATAAKTUdatauchwalenialubwydaniaaktu">
    <w:name w:val="DATA_AKTU – data uchwalenia lub wydania aktu"/>
    <w:next w:val="TYTUAKTUprzedmiotregulacjiustawylubrozporzdzenia"/>
    <w:uiPriority w:val="6"/>
    <w:qFormat/>
    <w:rsid w:val="005956CA"/>
    <w:pPr>
      <w:keepNext/>
      <w:suppressAutoHyphens/>
      <w:spacing w:before="120" w:after="120" w:line="360" w:lineRule="auto"/>
      <w:jc w:val="center"/>
    </w:pPr>
    <w:rPr>
      <w:rFonts w:ascii="Times" w:eastAsiaTheme="minorEastAsia" w:hAnsi="Times" w:cs="Arial"/>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5956CA"/>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OZNRODZAKTUtznustawalubrozporzdzenieiorganwydajcy">
    <w:name w:val="OZN_RODZ_AKTU – tzn. ustawa lub rozporządzenie i organ wydający"/>
    <w:next w:val="DATAAKTUdatauchwalenialubwydaniaaktu"/>
    <w:uiPriority w:val="5"/>
    <w:qFormat/>
    <w:rsid w:val="005956CA"/>
    <w:pPr>
      <w:keepNext/>
      <w:suppressAutoHyphens/>
      <w:spacing w:after="120" w:line="360" w:lineRule="auto"/>
      <w:jc w:val="center"/>
    </w:pPr>
    <w:rPr>
      <w:rFonts w:ascii="Times" w:eastAsia="Times New Roman" w:hAnsi="Times" w:cs="Times New Roman"/>
      <w:b/>
      <w:bCs/>
      <w:caps/>
      <w:spacing w:val="54"/>
      <w:kern w:val="24"/>
      <w:lang w:eastAsia="pl-PL"/>
      <w14:ligatures w14:val="none"/>
    </w:rPr>
  </w:style>
  <w:style w:type="paragraph" w:customStyle="1" w:styleId="ODNONIKtreodnonika">
    <w:name w:val="ODNOŚNIK – treść odnośnika"/>
    <w:uiPriority w:val="19"/>
    <w:qFormat/>
    <w:rsid w:val="005956CA"/>
    <w:pPr>
      <w:spacing w:after="0" w:line="240" w:lineRule="auto"/>
      <w:ind w:left="284" w:hanging="284"/>
      <w:jc w:val="both"/>
    </w:pPr>
    <w:rPr>
      <w:rFonts w:ascii="Times New Roman" w:eastAsiaTheme="minorEastAsia" w:hAnsi="Times New Roman" w:cs="Arial"/>
      <w:kern w:val="0"/>
      <w:sz w:val="20"/>
      <w:szCs w:val="20"/>
      <w:lang w:eastAsia="pl-PL"/>
      <w14:ligatures w14:val="none"/>
    </w:rPr>
  </w:style>
  <w:style w:type="character" w:customStyle="1" w:styleId="IGindeksgrny">
    <w:name w:val="_IG_ – indeks górny"/>
    <w:basedOn w:val="Domylnaczcionkaakapitu"/>
    <w:uiPriority w:val="2"/>
    <w:qFormat/>
    <w:rsid w:val="005956CA"/>
    <w:rPr>
      <w:b w:val="0"/>
      <w:i w:val="0"/>
      <w:vanish w:val="0"/>
      <w:spacing w:val="0"/>
      <w:vertAlign w:val="superscript"/>
    </w:rPr>
  </w:style>
  <w:style w:type="character" w:customStyle="1" w:styleId="IGPindeksgrnyipogrubienie">
    <w:name w:val="_IG_P_ – indeks górny i pogrubienie"/>
    <w:basedOn w:val="Domylnaczcionkaakapitu"/>
    <w:uiPriority w:val="2"/>
    <w:qFormat/>
    <w:rsid w:val="005956CA"/>
    <w:rPr>
      <w:b/>
      <w:vanish w:val="0"/>
      <w:spacing w:val="0"/>
      <w:vertAlign w:val="superscript"/>
    </w:rPr>
  </w:style>
  <w:style w:type="paragraph" w:styleId="Tekstprzypisudolnego">
    <w:name w:val="footnote text"/>
    <w:basedOn w:val="Normalny"/>
    <w:link w:val="TekstprzypisudolnegoZnak"/>
    <w:uiPriority w:val="99"/>
    <w:semiHidden/>
    <w:unhideWhenUsed/>
    <w:rsid w:val="00AB13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1371"/>
    <w:rPr>
      <w:sz w:val="20"/>
      <w:szCs w:val="20"/>
    </w:rPr>
  </w:style>
  <w:style w:type="character" w:styleId="Odwoanieprzypisudolnego">
    <w:name w:val="footnote reference"/>
    <w:basedOn w:val="Domylnaczcionkaakapitu"/>
    <w:uiPriority w:val="99"/>
    <w:semiHidden/>
    <w:unhideWhenUsed/>
    <w:rsid w:val="00AB1371"/>
    <w:rPr>
      <w:vertAlign w:val="superscript"/>
    </w:rPr>
  </w:style>
  <w:style w:type="character" w:customStyle="1" w:styleId="AkapitzlistZnak">
    <w:name w:val="Akapit z listą Znak"/>
    <w:aliases w:val="Wypunktowanie Znak,Dot pt Znak,F5 List Paragraph Znak,List Paragraph1 Znak,Recommendation Znak,List Paragraph11 Znak,List Paragraph Znak,Numerowanie Znak,Kolorowa lista — akcent 11 Znak,Listaszerű bekezdés1 Znak,Akapit z listą1 Znak"/>
    <w:basedOn w:val="Domylnaczcionkaakapitu"/>
    <w:link w:val="Akapitzlist"/>
    <w:rsid w:val="004B0846"/>
  </w:style>
  <w:style w:type="character" w:styleId="Odwoaniedokomentarza">
    <w:name w:val="annotation reference"/>
    <w:basedOn w:val="Domylnaczcionkaakapitu"/>
    <w:uiPriority w:val="99"/>
    <w:semiHidden/>
    <w:unhideWhenUsed/>
    <w:rsid w:val="004B0846"/>
    <w:rPr>
      <w:sz w:val="16"/>
      <w:szCs w:val="16"/>
    </w:rPr>
  </w:style>
  <w:style w:type="paragraph" w:styleId="Tekstkomentarza">
    <w:name w:val="annotation text"/>
    <w:basedOn w:val="Normalny"/>
    <w:link w:val="TekstkomentarzaZnak"/>
    <w:uiPriority w:val="99"/>
    <w:unhideWhenUsed/>
    <w:rsid w:val="004B0846"/>
    <w:pPr>
      <w:spacing w:line="240" w:lineRule="auto"/>
    </w:pPr>
    <w:rPr>
      <w:sz w:val="20"/>
      <w:szCs w:val="20"/>
    </w:rPr>
  </w:style>
  <w:style w:type="character" w:customStyle="1" w:styleId="TekstkomentarzaZnak">
    <w:name w:val="Tekst komentarza Znak"/>
    <w:basedOn w:val="Domylnaczcionkaakapitu"/>
    <w:link w:val="Tekstkomentarza"/>
    <w:uiPriority w:val="99"/>
    <w:rsid w:val="004B0846"/>
    <w:rPr>
      <w:rFonts w:ascii="Aptos" w:eastAsia="Aptos" w:hAnsi="Aptos" w:cs="Times New Roman"/>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4B0846"/>
    <w:rPr>
      <w:b/>
      <w:bCs/>
    </w:rPr>
  </w:style>
  <w:style w:type="character" w:customStyle="1" w:styleId="TematkomentarzaZnak">
    <w:name w:val="Temat komentarza Znak"/>
    <w:basedOn w:val="TekstkomentarzaZnak"/>
    <w:link w:val="Tematkomentarza"/>
    <w:uiPriority w:val="99"/>
    <w:semiHidden/>
    <w:rsid w:val="004B0846"/>
    <w:rPr>
      <w:rFonts w:ascii="Aptos" w:eastAsia="Aptos" w:hAnsi="Aptos" w:cs="Times New Roman"/>
      <w:b/>
      <w:bCs/>
      <w:sz w:val="20"/>
      <w:szCs w:val="20"/>
      <w:lang w:eastAsia="pl-PL"/>
      <w14:ligatures w14:val="none"/>
    </w:rPr>
  </w:style>
  <w:style w:type="paragraph" w:customStyle="1" w:styleId="LITlitera">
    <w:name w:val="LIT – litera"/>
    <w:basedOn w:val="PKTpunkt"/>
    <w:uiPriority w:val="14"/>
    <w:qFormat/>
    <w:rsid w:val="00B00F62"/>
    <w:pPr>
      <w:ind w:left="986" w:hanging="476"/>
    </w:pPr>
  </w:style>
  <w:style w:type="paragraph" w:customStyle="1" w:styleId="ZLITUSTzmustliter">
    <w:name w:val="Z_LIT/UST(§) – zm. ust. (§) literą"/>
    <w:basedOn w:val="Normalny"/>
    <w:uiPriority w:val="46"/>
    <w:qFormat/>
    <w:rsid w:val="00B00F62"/>
    <w:pPr>
      <w:suppressAutoHyphens/>
      <w:autoSpaceDE w:val="0"/>
      <w:autoSpaceDN w:val="0"/>
      <w:adjustRightInd w:val="0"/>
      <w:spacing w:after="0" w:line="360" w:lineRule="auto"/>
      <w:ind w:left="987" w:firstLine="510"/>
      <w:jc w:val="both"/>
    </w:pPr>
    <w:rPr>
      <w:rFonts w:ascii="Times" w:eastAsiaTheme="minorEastAsia" w:hAnsi="Times" w:cs="Arial"/>
      <w:bCs/>
      <w:kern w:val="0"/>
      <w:sz w:val="24"/>
      <w:szCs w:val="20"/>
    </w:rPr>
  </w:style>
  <w:style w:type="paragraph" w:customStyle="1" w:styleId="ZLITPKTzmpktliter">
    <w:name w:val="Z_LIT/PKT – zm. pkt literą"/>
    <w:basedOn w:val="PKTpunkt"/>
    <w:uiPriority w:val="47"/>
    <w:qFormat/>
    <w:rsid w:val="00B00F62"/>
    <w:pPr>
      <w:ind w:left="1497"/>
    </w:pPr>
  </w:style>
  <w:style w:type="table" w:styleId="Tabela-Siatka">
    <w:name w:val="Table Grid"/>
    <w:basedOn w:val="Standardowy"/>
    <w:uiPriority w:val="99"/>
    <w:rsid w:val="0050022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machnik\Desktop\robocze\S&#322;upki%20sukcesu%20BSK%202017-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1" i="0" u="none" strike="noStrike" kern="1200" spc="0" baseline="0">
                <a:solidFill>
                  <a:sysClr val="windowText" lastClr="000000">
                    <a:lumMod val="65000"/>
                    <a:lumOff val="35000"/>
                  </a:sysClr>
                </a:solidFill>
              </a:rPr>
              <a:t>Efekty rzeczowe programu BSK w latach 2007 - 2024 </a:t>
            </a:r>
          </a:p>
          <a:p>
            <a:pPr>
              <a:defRPr/>
            </a:pPr>
            <a:r>
              <a:rPr lang="pl-PL" sz="1400" b="1" i="0" u="none" strike="noStrike" kern="1200" spc="0" baseline="0">
                <a:solidFill>
                  <a:sysClr val="windowText" lastClr="000000">
                    <a:lumMod val="65000"/>
                    <a:lumOff val="35000"/>
                  </a:sysClr>
                </a:solidFill>
              </a:rPr>
              <a:t>(wg stanu na 31.12.2024)</a:t>
            </a:r>
            <a:endParaRPr lang="en-US" sz="1400" b="1"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Arkusz1!$B$2</c:f>
              <c:strCache>
                <c:ptCount val="1"/>
                <c:pt idx="0">
                  <c:v>Liczba mieszkań/miejsc noclegowych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Arkusz1!$A$3:$A$20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Arkusz1!$B$3:$B$20</c:f>
              <c:numCache>
                <c:formatCode>General</c:formatCode>
                <c:ptCount val="18"/>
                <c:pt idx="0">
                  <c:v>2510</c:v>
                </c:pt>
                <c:pt idx="1">
                  <c:v>2049</c:v>
                </c:pt>
                <c:pt idx="2">
                  <c:v>1364</c:v>
                </c:pt>
                <c:pt idx="3">
                  <c:v>1394</c:v>
                </c:pt>
                <c:pt idx="4">
                  <c:v>1624</c:v>
                </c:pt>
                <c:pt idx="5">
                  <c:v>1892</c:v>
                </c:pt>
                <c:pt idx="6">
                  <c:v>1794</c:v>
                </c:pt>
                <c:pt idx="7">
                  <c:v>1684</c:v>
                </c:pt>
                <c:pt idx="8">
                  <c:v>2294</c:v>
                </c:pt>
                <c:pt idx="9">
                  <c:v>3004</c:v>
                </c:pt>
                <c:pt idx="10">
                  <c:v>2930</c:v>
                </c:pt>
                <c:pt idx="11">
                  <c:v>1685</c:v>
                </c:pt>
                <c:pt idx="12">
                  <c:v>1388</c:v>
                </c:pt>
                <c:pt idx="13">
                  <c:v>1315</c:v>
                </c:pt>
                <c:pt idx="14">
                  <c:v>8156</c:v>
                </c:pt>
                <c:pt idx="15">
                  <c:v>4523</c:v>
                </c:pt>
                <c:pt idx="16">
                  <c:v>10253</c:v>
                </c:pt>
                <c:pt idx="17">
                  <c:v>7034</c:v>
                </c:pt>
              </c:numCache>
            </c:numRef>
          </c:val>
          <c:extLst>
            <c:ext xmlns:c16="http://schemas.microsoft.com/office/drawing/2014/chart" uri="{C3380CC4-5D6E-409C-BE32-E72D297353CC}">
              <c16:uniqueId val="{00000000-0772-466C-89B2-9DA9C5B414F7}"/>
            </c:ext>
          </c:extLst>
        </c:ser>
        <c:dLbls>
          <c:dLblPos val="outEnd"/>
          <c:showLegendKey val="0"/>
          <c:showVal val="1"/>
          <c:showCatName val="0"/>
          <c:showSerName val="0"/>
          <c:showPercent val="0"/>
          <c:showBubbleSize val="0"/>
        </c:dLbls>
        <c:gapWidth val="219"/>
        <c:overlap val="-27"/>
        <c:axId val="581916671"/>
        <c:axId val="581917631"/>
      </c:barChart>
      <c:catAx>
        <c:axId val="58191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1917631"/>
        <c:crosses val="autoZero"/>
        <c:auto val="1"/>
        <c:lblAlgn val="ctr"/>
        <c:lblOffset val="100"/>
        <c:noMultiLvlLbl val="0"/>
      </c:catAx>
      <c:valAx>
        <c:axId val="5819176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1916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5533</Words>
  <Characters>33807</Characters>
  <Application>Microsoft Office Word</Application>
  <DocSecurity>0</DocSecurity>
  <Lines>662</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Trepka Kamil</dc:creator>
  <cp:keywords/>
  <dc:description/>
  <cp:lastModifiedBy>Tomasz Katana</cp:lastModifiedBy>
  <cp:revision>5</cp:revision>
  <cp:lastPrinted>2025-01-07T12:10:00Z</cp:lastPrinted>
  <dcterms:created xsi:type="dcterms:W3CDTF">2025-02-07T08:58:00Z</dcterms:created>
  <dcterms:modified xsi:type="dcterms:W3CDTF">2025-02-07T09:16:00Z</dcterms:modified>
</cp:coreProperties>
</file>